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BB" w:rsidRPr="00872580" w:rsidRDefault="00E07ABB" w:rsidP="00E07ABB">
      <w:pPr>
        <w:jc w:val="center"/>
        <w:rPr>
          <w:b/>
          <w:sz w:val="28"/>
          <w:szCs w:val="28"/>
          <w:lang w:val="uk-UA"/>
        </w:rPr>
      </w:pPr>
      <w:r w:rsidRPr="00872580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872580">
        <w:rPr>
          <w:b/>
          <w:sz w:val="28"/>
          <w:szCs w:val="28"/>
          <w:lang w:val="uk-UA"/>
        </w:rPr>
        <w:t xml:space="preserve"> </w:t>
      </w:r>
    </w:p>
    <w:p w:rsidR="00985B90" w:rsidRPr="001651AC" w:rsidRDefault="00985B90" w:rsidP="00F25B4B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«</w:t>
      </w:r>
      <w:r w:rsidR="00F25B4B">
        <w:rPr>
          <w:b/>
          <w:sz w:val="28"/>
          <w:szCs w:val="28"/>
          <w:lang w:val="uk-UA"/>
        </w:rPr>
        <w:t>Д</w:t>
      </w:r>
      <w:r w:rsidRPr="001651AC">
        <w:rPr>
          <w:b/>
          <w:sz w:val="28"/>
          <w:szCs w:val="28"/>
          <w:lang w:val="uk-UA"/>
        </w:rPr>
        <w:t xml:space="preserve">етектив Національного бюро </w:t>
      </w:r>
      <w:r w:rsidR="00F25B4B" w:rsidRPr="00F25B4B">
        <w:rPr>
          <w:b/>
          <w:sz w:val="28"/>
          <w:szCs w:val="28"/>
          <w:lang w:val="uk-UA"/>
        </w:rPr>
        <w:t>відділу детективів по виявленню неправомірної вигоди та незаконного збагачення</w:t>
      </w:r>
    </w:p>
    <w:p w:rsidR="00985B90" w:rsidRPr="00985B90" w:rsidRDefault="00985B90" w:rsidP="00985B90">
      <w:pPr>
        <w:jc w:val="center"/>
        <w:rPr>
          <w:b/>
          <w:sz w:val="28"/>
          <w:szCs w:val="28"/>
          <w:lang w:val="uk-UA"/>
        </w:rPr>
      </w:pPr>
      <w:r w:rsidRPr="001651AC">
        <w:rPr>
          <w:b/>
          <w:sz w:val="28"/>
          <w:szCs w:val="28"/>
          <w:lang w:val="uk-UA"/>
        </w:rPr>
        <w:t>Управління аналітики та обробки інформації»</w:t>
      </w:r>
    </w:p>
    <w:p w:rsidR="00E07ABB" w:rsidRDefault="00985B90" w:rsidP="00985B90">
      <w:pPr>
        <w:jc w:val="center"/>
        <w:rPr>
          <w:b/>
          <w:sz w:val="28"/>
          <w:szCs w:val="28"/>
          <w:lang w:val="uk-UA"/>
        </w:rPr>
      </w:pPr>
      <w:r w:rsidRPr="00985B9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2A588C" w:rsidRDefault="002A588C" w:rsidP="00985B90">
      <w:pPr>
        <w:jc w:val="center"/>
        <w:rPr>
          <w:bCs/>
          <w:lang w:val="uk-UA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777"/>
        <w:gridCol w:w="5145"/>
      </w:tblGrid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E07ABB" w:rsidP="00820A13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E07ABB" w:rsidRPr="006B5EA2" w:rsidRDefault="00B26A47" w:rsidP="00B26A4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Тимчасово виконуючий повноваження </w:t>
            </w:r>
            <w:r w:rsidR="00E07ABB" w:rsidRPr="006B5EA2">
              <w:rPr>
                <w:b/>
                <w:lang w:val="uk-UA"/>
              </w:rPr>
              <w:t>Директор</w:t>
            </w:r>
            <w:r>
              <w:rPr>
                <w:b/>
                <w:lang w:val="uk-UA"/>
              </w:rPr>
              <w:t>а</w:t>
            </w:r>
            <w:r w:rsidR="00E07ABB" w:rsidRPr="006B5EA2">
              <w:rPr>
                <w:b/>
                <w:lang w:val="uk-UA"/>
              </w:rPr>
              <w:t xml:space="preserve">       </w:t>
            </w:r>
            <w:r>
              <w:rPr>
                <w:b/>
                <w:lang w:val="uk-UA"/>
              </w:rPr>
              <w:t xml:space="preserve">                             Гізо УГЛАВА</w:t>
            </w:r>
          </w:p>
        </w:tc>
      </w:tr>
      <w:tr w:rsidR="00E07ABB" w:rsidRPr="00B7070A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E07ABB" w:rsidRDefault="00E07ABB" w:rsidP="00820A13">
            <w:pPr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</w:t>
            </w:r>
            <w:r>
              <w:rPr>
                <w:sz w:val="18"/>
                <w:szCs w:val="28"/>
                <w:lang w:val="uk-UA"/>
              </w:rPr>
              <w:t>вної служби у державному органі</w:t>
            </w:r>
            <w:r w:rsidRPr="006B5EA2">
              <w:rPr>
                <w:sz w:val="18"/>
                <w:szCs w:val="28"/>
                <w:lang w:val="uk-UA"/>
              </w:rPr>
              <w:t>)</w:t>
            </w:r>
          </w:p>
          <w:p w:rsidR="00E07ABB" w:rsidRPr="006B5EA2" w:rsidRDefault="00E07ABB" w:rsidP="00820A13">
            <w:pPr>
              <w:rPr>
                <w:sz w:val="18"/>
                <w:szCs w:val="28"/>
                <w:lang w:val="uk-UA"/>
              </w:rPr>
            </w:pPr>
          </w:p>
        </w:tc>
      </w:tr>
      <w:tr w:rsidR="00E07ABB" w:rsidRPr="006B5EA2" w:rsidTr="00820A13">
        <w:tc>
          <w:tcPr>
            <w:tcW w:w="4608" w:type="dxa"/>
          </w:tcPr>
          <w:p w:rsidR="00E07ABB" w:rsidRPr="006B5EA2" w:rsidRDefault="00E07ABB" w:rsidP="00820A13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</w:tcPr>
          <w:p w:rsidR="00E07ABB" w:rsidRPr="006B5EA2" w:rsidRDefault="00467908" w:rsidP="00467908">
            <w:pPr>
              <w:rPr>
                <w:lang w:val="uk-UA"/>
              </w:rPr>
            </w:pPr>
            <w:r>
              <w:rPr>
                <w:lang w:val="uk-UA"/>
              </w:rPr>
              <w:t>«03</w:t>
            </w:r>
            <w:r w:rsidR="002A588C">
              <w:rPr>
                <w:lang w:val="uk-UA"/>
              </w:rPr>
              <w:t>»</w:t>
            </w:r>
            <w:r w:rsidR="00E07ABB">
              <w:rPr>
                <w:lang w:val="uk-UA"/>
              </w:rPr>
              <w:t xml:space="preserve"> </w:t>
            </w:r>
            <w:r>
              <w:rPr>
                <w:lang w:val="uk-UA"/>
              </w:rPr>
              <w:t>січня</w:t>
            </w:r>
            <w:r w:rsidR="00E07ABB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3</w:t>
            </w:r>
            <w:r w:rsidR="002A588C">
              <w:rPr>
                <w:lang w:val="uk-UA"/>
              </w:rPr>
              <w:t xml:space="preserve"> року</w:t>
            </w:r>
          </w:p>
        </w:tc>
      </w:tr>
    </w:tbl>
    <w:p w:rsidR="00E07ABB" w:rsidRPr="00872580" w:rsidRDefault="00E07ABB" w:rsidP="00E07ABB">
      <w:pPr>
        <w:jc w:val="center"/>
        <w:rPr>
          <w:bCs/>
          <w:lang w:val="uk-UA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415"/>
        <w:gridCol w:w="239"/>
        <w:gridCol w:w="5894"/>
        <w:gridCol w:w="11"/>
      </w:tblGrid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2A588C" w:rsidP="002A588C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</w:t>
            </w:r>
            <w:r w:rsidR="00E07ABB" w:rsidRPr="00872580">
              <w:rPr>
                <w:b/>
                <w:bCs/>
                <w:lang w:val="uk-UA"/>
              </w:rPr>
              <w:t>І</w:t>
            </w:r>
          </w:p>
        </w:tc>
        <w:tc>
          <w:tcPr>
            <w:tcW w:w="9548" w:type="dxa"/>
            <w:gridSpan w:val="3"/>
          </w:tcPr>
          <w:p w:rsidR="00E07ABB" w:rsidRPr="00872580" w:rsidRDefault="00E07ABB" w:rsidP="00820A13">
            <w:pPr>
              <w:jc w:val="center"/>
              <w:rPr>
                <w:b/>
                <w:bCs/>
                <w:lang w:val="uk-UA"/>
              </w:rPr>
            </w:pPr>
            <w:r w:rsidRPr="0087258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E07ABB" w:rsidRPr="00872580" w:rsidTr="00467908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94" w:type="dxa"/>
            <w:vAlign w:val="center"/>
          </w:tcPr>
          <w:p w:rsidR="00E07ABB" w:rsidRPr="00872580" w:rsidRDefault="00E07ABB" w:rsidP="00467908">
            <w:pPr>
              <w:tabs>
                <w:tab w:val="left" w:pos="327"/>
              </w:tabs>
              <w:rPr>
                <w:lang w:val="uk-UA"/>
              </w:rPr>
            </w:pPr>
            <w:r w:rsidRPr="00872580">
              <w:rPr>
                <w:lang w:val="uk-UA"/>
              </w:rPr>
              <w:t>Національне антикорупційне бюро України</w:t>
            </w:r>
          </w:p>
        </w:tc>
      </w:tr>
      <w:tr w:rsidR="00985B90" w:rsidRPr="00467908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94" w:type="dxa"/>
          </w:tcPr>
          <w:p w:rsidR="00985B90" w:rsidRPr="00180F0D" w:rsidRDefault="00F25B4B" w:rsidP="00F25B4B">
            <w:pPr>
              <w:tabs>
                <w:tab w:val="left" w:pos="342"/>
              </w:tabs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В</w:t>
            </w:r>
            <w:r w:rsidRPr="00F25B4B">
              <w:rPr>
                <w:bCs/>
                <w:lang w:val="uk-UA"/>
              </w:rPr>
              <w:t>ідділ детективів по виявленню неправомірної вигоди та незаконного збагачення</w:t>
            </w:r>
            <w:r>
              <w:rPr>
                <w:bCs/>
                <w:lang w:val="uk-UA"/>
              </w:rPr>
              <w:t xml:space="preserve"> </w:t>
            </w:r>
            <w:r w:rsidRPr="00F25B4B">
              <w:rPr>
                <w:bCs/>
                <w:lang w:val="uk-UA"/>
              </w:rPr>
              <w:t xml:space="preserve">Управління аналітики та обробки інформації </w:t>
            </w:r>
            <w:r w:rsidR="00985B90" w:rsidRPr="00180F0D">
              <w:rPr>
                <w:bCs/>
                <w:lang w:val="uk-UA"/>
              </w:rPr>
              <w:t>Управління аналітики та обробки інформації</w:t>
            </w:r>
            <w:r w:rsidR="00985B90" w:rsidRPr="00180F0D">
              <w:rPr>
                <w:lang w:val="uk-UA"/>
              </w:rPr>
              <w:t xml:space="preserve">   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Найменування посади</w:t>
            </w:r>
          </w:p>
        </w:tc>
        <w:tc>
          <w:tcPr>
            <w:tcW w:w="5894" w:type="dxa"/>
          </w:tcPr>
          <w:p w:rsidR="00E07ABB" w:rsidRPr="00872580" w:rsidRDefault="00F25B4B" w:rsidP="00820A13">
            <w:pPr>
              <w:tabs>
                <w:tab w:val="left" w:pos="327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</w:t>
            </w:r>
            <w:r w:rsidR="00E07ABB">
              <w:rPr>
                <w:bCs/>
                <w:lang w:val="uk-UA"/>
              </w:rPr>
              <w:t>етектив Національного бюро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872580" w:rsidRDefault="00E07ABB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E07ABB" w:rsidRPr="00FA0179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Категорія</w:t>
            </w:r>
            <w:r w:rsidRPr="00FA0179">
              <w:rPr>
                <w:lang w:val="uk-UA"/>
              </w:rPr>
              <w:t xml:space="preserve"> посади </w:t>
            </w:r>
          </w:p>
        </w:tc>
        <w:tc>
          <w:tcPr>
            <w:tcW w:w="5894" w:type="dxa"/>
          </w:tcPr>
          <w:p w:rsidR="00E07ABB" w:rsidRPr="00FA0179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D201B3">
              <w:rPr>
                <w:lang w:val="uk-UA"/>
              </w:rPr>
              <w:t>В</w:t>
            </w:r>
            <w:r>
              <w:rPr>
                <w:lang w:val="uk-UA"/>
              </w:rPr>
              <w:t>»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caps/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caps/>
                <w:lang w:val="uk-UA"/>
              </w:rPr>
            </w:pPr>
            <w:r w:rsidRPr="00872580">
              <w:rPr>
                <w:lang w:val="uk-UA"/>
              </w:rPr>
              <w:t>Мета посади</w:t>
            </w:r>
          </w:p>
        </w:tc>
        <w:tc>
          <w:tcPr>
            <w:tcW w:w="5894" w:type="dxa"/>
          </w:tcPr>
          <w:p w:rsidR="00985B90" w:rsidRPr="00180F0D" w:rsidRDefault="00985B90" w:rsidP="00985B90">
            <w:pPr>
              <w:pStyle w:val="consplusnormal"/>
              <w:shd w:val="clear" w:color="auto" w:fill="FFFFFF"/>
              <w:tabs>
                <w:tab w:val="left" w:pos="327"/>
              </w:tabs>
              <w:spacing w:before="0" w:beforeAutospacing="0" w:after="0" w:afterAutospacing="0"/>
              <w:jc w:val="both"/>
            </w:pPr>
            <w:r>
              <w:t>П</w:t>
            </w:r>
            <w:r w:rsidRPr="00180F0D">
              <w:t xml:space="preserve">опередження та виявлення кримінальних корупційних правопорушень, віднесених до </w:t>
            </w:r>
            <w:r w:rsidRPr="00180F0D">
              <w:rPr>
                <w:spacing w:val="-6"/>
              </w:rPr>
              <w:t>підслідності Національного антикорупційного</w:t>
            </w:r>
            <w:r w:rsidRPr="00180F0D">
              <w:t xml:space="preserve"> бюро України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2A588C">
            <w:pPr>
              <w:numPr>
                <w:ilvl w:val="0"/>
                <w:numId w:val="1"/>
              </w:numPr>
              <w:tabs>
                <w:tab w:val="clear" w:pos="360"/>
                <w:tab w:val="num" w:pos="540"/>
              </w:tabs>
              <w:ind w:hanging="338"/>
              <w:jc w:val="center"/>
              <w:rPr>
                <w:lang w:val="uk-UA"/>
              </w:rPr>
            </w:pPr>
          </w:p>
        </w:tc>
        <w:tc>
          <w:tcPr>
            <w:tcW w:w="3654" w:type="dxa"/>
            <w:gridSpan w:val="2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87258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94" w:type="dxa"/>
          </w:tcPr>
          <w:p w:rsidR="00B26A47" w:rsidRPr="008D3893" w:rsidRDefault="00B26A47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здійснення інформаційно-аналітичної роботи з метою виявлення та усунення причин і умов, що сприяють вчиненню кримінальних правопорушень, віднесених до підслідності Національного бюро, вивчення причин та особливостей вчинення кримінальних корупційних правопорушень, поточних тенденцій та недоліків у боротьбі з такими правопорушеннями;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здійснення заходів із збору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 xml:space="preserve">даних (інформації) із внутрішніх реєстрів, державних та муніципальних баз даних, від банків, депозитарних, фінансових та інших установ, підприємств та організацій незалежно від форми власності, відкритих джерел, 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направлених на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попередження, виявлення, припинення, розслідування та розкриття корупційних та інших кримінальних правопорушень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B26A47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забезпечення обробки та аналізу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даних (інформації) обробки документів, зокрема матеріалів кримінальних проваджень,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 xml:space="preserve"> на предмет виявлення ознак </w:t>
            </w:r>
            <w:r w:rsidR="00B26A47" w:rsidRPr="008D3893">
              <w:rPr>
                <w:rFonts w:ascii="Times New Roman" w:hAnsi="Times New Roman"/>
                <w:sz w:val="24"/>
                <w:szCs w:val="24"/>
              </w:rPr>
              <w:t>вчинення корупційних та інших кримінальних правопорушень</w:t>
            </w:r>
            <w:r w:rsidR="00B26A47"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формування інформаційних та довідкових аналітичних матеріалів, необхідних для проведення оперативно-розшукових та оперативно-технічних заходів, досудового розслідування по кримінальному провадженню;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розроблення рекомендацій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щодо планування оперативно-розшукових та оперативно-технічних </w:t>
            </w:r>
            <w:r w:rsidRPr="008D389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заходів по оперативно-розшуковій справі, досудового розслідування по кримінальному провадженню, а також окремих слідчих чи (розшукових) дій</w:t>
            </w:r>
            <w:r w:rsidRPr="008D3893">
              <w:rPr>
                <w:rFonts w:ascii="Times New Roman" w:hAnsi="Times New Roman"/>
                <w:sz w:val="24"/>
                <w:szCs w:val="24"/>
              </w:rPr>
              <w:t>, надання консультативної підтримки детективам Національного антикорупційного бюро України в рамках досудового розслідування по кримінальному провадженню;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розробка, впровадження та використання способів, методів, інструментів збору, обробки та аналізу інформації про кримінальні корупційні правопорушення;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 xml:space="preserve">розробка пропозицій щодо впровадження та використання аналітичних систем, систем </w:t>
            </w:r>
            <w:proofErr w:type="spellStart"/>
            <w:r w:rsidRPr="008D3893">
              <w:rPr>
                <w:rFonts w:ascii="Times New Roman" w:hAnsi="Times New Roman"/>
                <w:sz w:val="24"/>
                <w:szCs w:val="24"/>
              </w:rPr>
              <w:t>рапортування</w:t>
            </w:r>
            <w:proofErr w:type="spellEnd"/>
            <w:r w:rsidRPr="008D389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85B90" w:rsidRPr="008D3893" w:rsidRDefault="00985B90" w:rsidP="00985B90">
            <w:pPr>
              <w:pStyle w:val="2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внесення на розгляд керівництва Відділу пропозицій щодо вдосконалення роботи Відділу;</w:t>
            </w:r>
          </w:p>
          <w:p w:rsidR="00985B90" w:rsidRPr="008D3893" w:rsidRDefault="00985B90" w:rsidP="00985B90">
            <w:pPr>
              <w:pStyle w:val="10"/>
              <w:numPr>
                <w:ilvl w:val="0"/>
                <w:numId w:val="2"/>
              </w:numPr>
              <w:tabs>
                <w:tab w:val="left" w:pos="301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8D3893">
              <w:rPr>
                <w:rFonts w:ascii="Times New Roman" w:hAnsi="Times New Roman"/>
                <w:sz w:val="24"/>
                <w:szCs w:val="24"/>
              </w:rPr>
              <w:t>виконання інших службових доручень.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5461ED" w:rsidRDefault="00E07ABB" w:rsidP="005461ED">
            <w:pPr>
              <w:jc w:val="center"/>
              <w:rPr>
                <w:b/>
                <w:lang w:val="uk-UA"/>
              </w:rPr>
            </w:pPr>
            <w:r w:rsidRPr="005461ED">
              <w:rPr>
                <w:b/>
                <w:lang w:val="uk-UA"/>
              </w:rPr>
              <w:t>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tabs>
                <w:tab w:val="left" w:pos="327"/>
              </w:tabs>
              <w:jc w:val="center"/>
              <w:rPr>
                <w:b/>
                <w:lang w:val="uk-UA"/>
              </w:rPr>
            </w:pPr>
            <w:r w:rsidRPr="000E79C2">
              <w:rPr>
                <w:b/>
                <w:lang w:val="uk-UA"/>
              </w:rPr>
              <w:t>КВАЛІФІКАЦІЙНІ ВИМОГИ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872580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lang w:val="uk-UA"/>
              </w:rPr>
            </w:pPr>
            <w:r w:rsidRPr="006E5B7E">
              <w:rPr>
                <w:rFonts w:eastAsia="Times New Roman"/>
                <w:i/>
                <w:lang w:val="uk-UA"/>
              </w:rPr>
              <w:t>Загальні вимоги</w:t>
            </w:r>
          </w:p>
        </w:tc>
      </w:tr>
      <w:tr w:rsidR="00E07ABB" w:rsidRPr="00D47F83" w:rsidTr="006F0FB3">
        <w:trPr>
          <w:gridAfter w:val="1"/>
          <w:wAfter w:w="11" w:type="dxa"/>
        </w:trPr>
        <w:tc>
          <w:tcPr>
            <w:tcW w:w="704" w:type="dxa"/>
            <w:vMerge w:val="restart"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  <w:r w:rsidRPr="00872580">
              <w:rPr>
                <w:lang w:val="uk-UA"/>
              </w:rPr>
              <w:t>1.1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872580">
              <w:rPr>
                <w:lang w:val="uk-UA"/>
              </w:rPr>
              <w:t>Освіта</w:t>
            </w:r>
          </w:p>
        </w:tc>
        <w:tc>
          <w:tcPr>
            <w:tcW w:w="6133" w:type="dxa"/>
            <w:gridSpan w:val="2"/>
          </w:tcPr>
          <w:p w:rsidR="00E07ABB" w:rsidRPr="00872580" w:rsidRDefault="00E07ABB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5461ED">
              <w:rPr>
                <w:lang w:val="uk-UA"/>
              </w:rPr>
              <w:t>ища</w:t>
            </w:r>
          </w:p>
        </w:tc>
      </w:tr>
      <w:tr w:rsidR="00E07ABB" w:rsidRPr="00B7070A" w:rsidTr="006F0FB3">
        <w:trPr>
          <w:gridAfter w:val="1"/>
          <w:wAfter w:w="11" w:type="dxa"/>
        </w:trPr>
        <w:tc>
          <w:tcPr>
            <w:tcW w:w="704" w:type="dxa"/>
            <w:vMerge/>
          </w:tcPr>
          <w:p w:rsidR="00E07ABB" w:rsidRPr="00872580" w:rsidRDefault="00E07ABB" w:rsidP="005461ED">
            <w:pPr>
              <w:jc w:val="center"/>
              <w:rPr>
                <w:lang w:val="uk-UA"/>
              </w:rPr>
            </w:pP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lang w:val="uk-UA"/>
              </w:rPr>
            </w:pPr>
            <w:r w:rsidRPr="00D47F83">
              <w:rPr>
                <w:lang w:val="uk-UA"/>
              </w:rPr>
              <w:t>Ступінь вищої освіти</w:t>
            </w:r>
          </w:p>
        </w:tc>
        <w:tc>
          <w:tcPr>
            <w:tcW w:w="6133" w:type="dxa"/>
            <w:gridSpan w:val="2"/>
          </w:tcPr>
          <w:p w:rsidR="00E07ABB" w:rsidRPr="00180F0D" w:rsidRDefault="005461ED" w:rsidP="005461ED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5F4BFE">
              <w:rPr>
                <w:lang w:val="uk-UA"/>
              </w:rPr>
              <w:t>Магістр (спеціаліст), бака</w:t>
            </w:r>
            <w:r>
              <w:rPr>
                <w:lang w:val="uk-UA"/>
              </w:rPr>
              <w:t xml:space="preserve">лавр (дипломований після </w:t>
            </w:r>
            <w:r w:rsidR="006F0FB3">
              <w:rPr>
                <w:lang w:val="uk-UA"/>
              </w:rPr>
              <w:t xml:space="preserve">                       </w:t>
            </w:r>
            <w:r>
              <w:rPr>
                <w:lang w:val="uk-UA"/>
              </w:rPr>
              <w:t>2015 року</w:t>
            </w:r>
            <w:r w:rsidRPr="005F4BFE">
              <w:rPr>
                <w:lang w:val="uk-UA"/>
              </w:rPr>
              <w:t>)</w:t>
            </w:r>
          </w:p>
        </w:tc>
      </w:tr>
      <w:tr w:rsidR="00985B90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1.2</w:t>
            </w:r>
          </w:p>
        </w:tc>
        <w:tc>
          <w:tcPr>
            <w:tcW w:w="3415" w:type="dxa"/>
          </w:tcPr>
          <w:p w:rsidR="00985B90" w:rsidRPr="00E10C4C" w:rsidRDefault="00985B90" w:rsidP="00985B90">
            <w:pPr>
              <w:rPr>
                <w:caps/>
              </w:rPr>
            </w:pPr>
            <w:r w:rsidRPr="00E10C4C">
              <w:rPr>
                <w:lang w:val="uk-UA"/>
              </w:rPr>
              <w:t>Стаж роботи  (тривалість у роках, у тому числі на посадах певної категорії)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AF5FF4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180F0D">
              <w:rPr>
                <w:lang w:val="uk-UA"/>
              </w:rPr>
              <w:t xml:space="preserve">Стаж роботи 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протягом останніх </w:t>
            </w:r>
            <w:r w:rsidR="00AF5FF4">
              <w:rPr>
                <w:spacing w:val="-4"/>
                <w:shd w:val="clear" w:color="auto" w:fill="FFFFFF"/>
                <w:lang w:val="uk-UA"/>
              </w:rPr>
              <w:t>п’яти</w:t>
            </w:r>
            <w:r w:rsidRPr="00180F0D">
              <w:rPr>
                <w:spacing w:val="-4"/>
                <w:shd w:val="clear" w:color="auto" w:fill="FFFFFF"/>
                <w:lang w:val="uk-UA"/>
              </w:rPr>
              <w:t xml:space="preserve"> років</w:t>
            </w:r>
            <w:r w:rsidRPr="00180F0D">
              <w:rPr>
                <w:lang w:val="uk-UA"/>
              </w:rPr>
              <w:t xml:space="preserve"> на посадах у аудиторських компаніях та/або </w:t>
            </w:r>
            <w:r w:rsidR="00F25B4B">
              <w:rPr>
                <w:lang w:val="uk-UA"/>
              </w:rPr>
              <w:t xml:space="preserve">державних органах </w:t>
            </w:r>
            <w:r w:rsidRPr="00180F0D">
              <w:rPr>
                <w:lang w:val="uk-UA"/>
              </w:rPr>
              <w:t xml:space="preserve">в підрозділах </w:t>
            </w:r>
            <w:r>
              <w:rPr>
                <w:lang w:val="uk-UA"/>
              </w:rPr>
              <w:t xml:space="preserve">аналітики, </w:t>
            </w:r>
            <w:r w:rsidRPr="00180F0D">
              <w:rPr>
                <w:lang w:val="uk-UA"/>
              </w:rPr>
              <w:t>аудиту,</w:t>
            </w:r>
            <w:r>
              <w:rPr>
                <w:lang w:val="uk-UA"/>
              </w:rPr>
              <w:t xml:space="preserve"> </w:t>
            </w:r>
            <w:r w:rsidRPr="00180F0D">
              <w:rPr>
                <w:lang w:val="uk-UA"/>
              </w:rPr>
              <w:t xml:space="preserve">ревізії, внутрішнього контролю тривалістю не менше </w:t>
            </w:r>
            <w:r w:rsidR="00AF5FF4">
              <w:rPr>
                <w:lang w:val="uk-UA"/>
              </w:rPr>
              <w:t>двох</w:t>
            </w:r>
            <w:r w:rsidRPr="00180F0D">
              <w:rPr>
                <w:lang w:val="uk-UA"/>
              </w:rPr>
              <w:t xml:space="preserve"> років.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Del="00E7634A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1.3</w:t>
            </w:r>
          </w:p>
        </w:tc>
        <w:tc>
          <w:tcPr>
            <w:tcW w:w="3415" w:type="dxa"/>
          </w:tcPr>
          <w:p w:rsidR="00E07ABB" w:rsidRPr="00394308" w:rsidDel="00E7634A" w:rsidRDefault="00E07ABB" w:rsidP="00820A13">
            <w:pPr>
              <w:rPr>
                <w:lang w:val="uk-UA"/>
              </w:rPr>
            </w:pPr>
            <w:r w:rsidRPr="00394308">
              <w:rPr>
                <w:lang w:val="uk-UA"/>
              </w:rPr>
              <w:t>Володіння державною мовою</w:t>
            </w:r>
          </w:p>
        </w:tc>
        <w:tc>
          <w:tcPr>
            <w:tcW w:w="6133" w:type="dxa"/>
            <w:gridSpan w:val="2"/>
          </w:tcPr>
          <w:p w:rsidR="00E07ABB" w:rsidRPr="00573F2C" w:rsidRDefault="00E07ABB" w:rsidP="00820A13">
            <w:pPr>
              <w:jc w:val="both"/>
              <w:rPr>
                <w:lang w:val="uk-UA"/>
              </w:rPr>
            </w:pPr>
            <w:r w:rsidRPr="00573F2C">
              <w:rPr>
                <w:lang w:val="uk-UA"/>
              </w:rPr>
              <w:t>Вільне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394308" w:rsidRDefault="00E07ABB" w:rsidP="005461ED">
            <w:pPr>
              <w:jc w:val="center"/>
              <w:rPr>
                <w:caps/>
                <w:lang w:val="uk-UA"/>
              </w:rPr>
            </w:pPr>
            <w:r w:rsidRPr="00394308">
              <w:rPr>
                <w:caps/>
                <w:lang w:val="uk-UA"/>
              </w:rPr>
              <w:t>1.4</w:t>
            </w:r>
          </w:p>
        </w:tc>
        <w:tc>
          <w:tcPr>
            <w:tcW w:w="3415" w:type="dxa"/>
          </w:tcPr>
          <w:p w:rsidR="00E07ABB" w:rsidRPr="00394308" w:rsidRDefault="00E07ABB" w:rsidP="00820A13">
            <w:pPr>
              <w:rPr>
                <w:lang w:val="uk-UA"/>
              </w:rPr>
            </w:pPr>
            <w:r w:rsidRPr="00394308">
              <w:rPr>
                <w:lang w:val="uk-UA" w:eastAsia="uk-UA"/>
              </w:rPr>
              <w:t xml:space="preserve">Володіння іноземними мовами </w:t>
            </w:r>
          </w:p>
        </w:tc>
        <w:tc>
          <w:tcPr>
            <w:tcW w:w="6133" w:type="dxa"/>
            <w:gridSpan w:val="2"/>
          </w:tcPr>
          <w:p w:rsidR="00E07ABB" w:rsidRPr="00394308" w:rsidRDefault="00E07ABB" w:rsidP="00820A1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Вільне володіння англійською мовою (на рівні не нижче </w:t>
            </w:r>
            <w:r>
              <w:rPr>
                <w:lang w:val="en-US"/>
              </w:rPr>
              <w:t>Upper</w:t>
            </w:r>
            <w:r w:rsidRPr="002F5E1E">
              <w:rPr>
                <w:lang w:val="uk-UA"/>
              </w:rPr>
              <w:t>-</w:t>
            </w:r>
            <w:r>
              <w:rPr>
                <w:lang w:val="en-US"/>
              </w:rPr>
              <w:t>Intermediate</w:t>
            </w:r>
            <w:r w:rsidRPr="002F5E1E">
              <w:rPr>
                <w:lang w:val="uk-UA"/>
              </w:rPr>
              <w:t xml:space="preserve">). </w:t>
            </w:r>
            <w:r>
              <w:rPr>
                <w:lang w:val="uk-UA"/>
              </w:rPr>
              <w:t xml:space="preserve">Володіння іншими мовами є перевагою. </w:t>
            </w:r>
          </w:p>
        </w:tc>
      </w:tr>
      <w:tr w:rsidR="00E07ABB" w:rsidRPr="00C22C6A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637E9B" w:rsidRDefault="00E07ABB" w:rsidP="005461ED">
            <w:pPr>
              <w:jc w:val="center"/>
              <w:rPr>
                <w:caps/>
                <w:lang w:val="uk-UA"/>
              </w:rPr>
            </w:pPr>
            <w:r w:rsidRPr="00637E9B">
              <w:rPr>
                <w:caps/>
                <w:lang w:val="uk-UA"/>
              </w:rPr>
              <w:t>1.5</w:t>
            </w:r>
          </w:p>
        </w:tc>
        <w:tc>
          <w:tcPr>
            <w:tcW w:w="3415" w:type="dxa"/>
            <w:shd w:val="clear" w:color="auto" w:fill="auto"/>
          </w:tcPr>
          <w:p w:rsidR="00E07ABB" w:rsidRPr="00637E9B" w:rsidRDefault="00E07ABB" w:rsidP="00820A13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37E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361FA0" w:rsidRPr="006F0FB3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Безстрокове призначення.</w:t>
            </w:r>
          </w:p>
          <w:p w:rsidR="005461ED" w:rsidRPr="00637E9B" w:rsidRDefault="00361FA0" w:rsidP="00361FA0">
            <w:pPr>
              <w:jc w:val="both"/>
              <w:rPr>
                <w:lang w:val="uk-UA"/>
              </w:rPr>
            </w:pPr>
            <w:r w:rsidRPr="006F0FB3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E07ABB" w:rsidRPr="00872580" w:rsidTr="006F0FB3">
        <w:tc>
          <w:tcPr>
            <w:tcW w:w="10263" w:type="dxa"/>
            <w:gridSpan w:val="5"/>
          </w:tcPr>
          <w:p w:rsidR="00E07ABB" w:rsidRPr="000E79C2" w:rsidRDefault="00E07ABB" w:rsidP="00820A13">
            <w:pPr>
              <w:numPr>
                <w:ilvl w:val="3"/>
                <w:numId w:val="1"/>
              </w:numPr>
              <w:tabs>
                <w:tab w:val="clear" w:pos="2520"/>
              </w:tabs>
              <w:ind w:left="720"/>
              <w:jc w:val="center"/>
              <w:rPr>
                <w:rFonts w:eastAsia="Times New Roman"/>
                <w:i/>
                <w:lang w:val="uk-UA"/>
              </w:rPr>
            </w:pPr>
            <w:r w:rsidRPr="000E79C2">
              <w:rPr>
                <w:rFonts w:eastAsia="Times New Roman"/>
                <w:i/>
                <w:lang w:val="uk-UA"/>
              </w:rPr>
              <w:t>Спеціальні вимоги</w:t>
            </w:r>
          </w:p>
        </w:tc>
      </w:tr>
      <w:tr w:rsidR="00E07ABB" w:rsidRPr="00467908" w:rsidTr="006F0FB3">
        <w:trPr>
          <w:gridAfter w:val="1"/>
          <w:wAfter w:w="11" w:type="dxa"/>
          <w:trHeight w:val="55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2.1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jc w:val="both"/>
              <w:rPr>
                <w:caps/>
                <w:lang w:val="uk-UA"/>
              </w:rPr>
            </w:pPr>
            <w:r w:rsidRPr="0033133C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133" w:type="dxa"/>
            <w:gridSpan w:val="2"/>
          </w:tcPr>
          <w:p w:rsidR="006F0FB3" w:rsidRPr="006F0FB3" w:rsidRDefault="00D208C5" w:rsidP="00467908">
            <w:pPr>
              <w:jc w:val="both"/>
              <w:rPr>
                <w:sz w:val="14"/>
                <w:szCs w:val="14"/>
                <w:lang w:val="uk-UA"/>
              </w:rPr>
            </w:pPr>
            <w:r w:rsidRPr="00D208C5">
              <w:rPr>
                <w:lang w:val="uk-UA"/>
              </w:rPr>
              <w:t>Соціальні та поведінкові науки</w:t>
            </w:r>
            <w:r>
              <w:rPr>
                <w:lang w:val="uk-UA"/>
              </w:rPr>
              <w:t xml:space="preserve"> (</w:t>
            </w:r>
            <w:r w:rsidRPr="002F5E1E">
              <w:rPr>
                <w:lang w:val="uk-UA"/>
              </w:rPr>
              <w:t>Економіка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Міжнародні економічні відносини</w:t>
            </w:r>
            <w:r>
              <w:rPr>
                <w:lang w:val="uk-UA"/>
              </w:rPr>
              <w:t xml:space="preserve">), </w:t>
            </w:r>
            <w:r w:rsidRPr="00D208C5">
              <w:rPr>
                <w:lang w:val="uk-UA"/>
              </w:rPr>
              <w:t>Управління та адміністрування</w:t>
            </w:r>
            <w:r>
              <w:rPr>
                <w:lang w:val="uk-UA"/>
              </w:rPr>
              <w:t xml:space="preserve"> (Облік і оподаткування; </w:t>
            </w:r>
            <w:r w:rsidRPr="002F5E1E">
              <w:rPr>
                <w:lang w:val="uk-UA"/>
              </w:rPr>
              <w:t>Фінанси, банківська справа та страхування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Менеджмент</w:t>
            </w:r>
            <w:r w:rsidR="00985B90">
              <w:rPr>
                <w:lang w:val="uk-UA"/>
              </w:rPr>
              <w:t xml:space="preserve">; </w:t>
            </w:r>
            <w:r w:rsidR="00985B90" w:rsidRPr="00985B90">
              <w:rPr>
                <w:lang w:val="uk-UA"/>
              </w:rPr>
              <w:t>Публічне управління та адміністрування</w:t>
            </w:r>
            <w:r>
              <w:rPr>
                <w:lang w:val="uk-UA"/>
              </w:rPr>
              <w:t>)</w:t>
            </w:r>
          </w:p>
        </w:tc>
      </w:tr>
      <w:tr w:rsidR="00E07ABB" w:rsidRPr="00E012A5" w:rsidTr="00467908">
        <w:trPr>
          <w:gridAfter w:val="1"/>
          <w:wAfter w:w="11" w:type="dxa"/>
          <w:trHeight w:val="70"/>
        </w:trPr>
        <w:tc>
          <w:tcPr>
            <w:tcW w:w="704" w:type="dxa"/>
          </w:tcPr>
          <w:p w:rsidR="00E07ABB" w:rsidRPr="00872580" w:rsidRDefault="00E07ABB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caps/>
                <w:lang w:val="uk-UA"/>
              </w:rPr>
              <w:t>2.2</w:t>
            </w:r>
          </w:p>
        </w:tc>
        <w:tc>
          <w:tcPr>
            <w:tcW w:w="3415" w:type="dxa"/>
          </w:tcPr>
          <w:p w:rsidR="00E07ABB" w:rsidRPr="00872580" w:rsidRDefault="00E07ABB" w:rsidP="00820A13">
            <w:pPr>
              <w:rPr>
                <w:caps/>
                <w:lang w:val="uk-UA"/>
              </w:rPr>
            </w:pPr>
            <w:r>
              <w:rPr>
                <w:lang w:val="uk-UA"/>
              </w:rPr>
              <w:t>Спеціальний д</w:t>
            </w:r>
            <w:r w:rsidRPr="0033133C">
              <w:rPr>
                <w:lang w:val="uk-UA"/>
              </w:rPr>
              <w:t>освід роботи</w:t>
            </w:r>
            <w:r>
              <w:rPr>
                <w:lang w:val="uk-UA"/>
              </w:rPr>
              <w:t xml:space="preserve"> (тривалість, сфера чи напрямок роботи)</w:t>
            </w:r>
          </w:p>
        </w:tc>
        <w:tc>
          <w:tcPr>
            <w:tcW w:w="6133" w:type="dxa"/>
            <w:gridSpan w:val="2"/>
            <w:vAlign w:val="center"/>
          </w:tcPr>
          <w:p w:rsidR="00E07ABB" w:rsidRPr="00E66033" w:rsidRDefault="00E07ABB" w:rsidP="00467908">
            <w:pPr>
              <w:tabs>
                <w:tab w:val="left" w:pos="327"/>
              </w:tabs>
              <w:rPr>
                <w:lang w:val="uk-UA"/>
              </w:rPr>
            </w:pPr>
            <w:r w:rsidRPr="00E66033">
              <w:rPr>
                <w:lang w:val="uk-UA"/>
              </w:rPr>
              <w:t xml:space="preserve">Досвід роботи у фінансовій та економічній сферах, в тому числі в державному або приватному секторі. 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872580">
              <w:rPr>
                <w:lang w:val="uk-UA"/>
              </w:rPr>
              <w:br w:type="page"/>
            </w:r>
            <w:r w:rsidRPr="00872580">
              <w:rPr>
                <w:lang w:val="uk-UA"/>
              </w:rPr>
              <w:br w:type="page"/>
            </w:r>
            <w:r w:rsidRPr="00872580">
              <w:rPr>
                <w:caps/>
                <w:lang w:val="uk-UA"/>
              </w:rPr>
              <w:t>2.3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6133" w:type="dxa"/>
            <w:gridSpan w:val="2"/>
          </w:tcPr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Конституція У</w:t>
            </w:r>
            <w:r>
              <w:rPr>
                <w:rFonts w:ascii="Times New Roman" w:hAnsi="Times New Roman"/>
                <w:sz w:val="24"/>
                <w:szCs w:val="24"/>
              </w:rPr>
              <w:t>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Бюджетний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Митний кодекс України;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 xml:space="preserve">Податковий кодекс України; 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державну службу»;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Національне антикорупційне бюро України»;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запобігання корупції»;</w:t>
            </w:r>
          </w:p>
          <w:p w:rsidR="00985B90" w:rsidRDefault="00985B90" w:rsidP="00985B90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публічні закупівлі»;</w:t>
            </w:r>
          </w:p>
          <w:p w:rsidR="006F0FB3" w:rsidRPr="008F3E26" w:rsidRDefault="00985B90" w:rsidP="00467908">
            <w:pPr>
              <w:pStyle w:val="20"/>
              <w:numPr>
                <w:ilvl w:val="0"/>
                <w:numId w:val="5"/>
              </w:numPr>
              <w:tabs>
                <w:tab w:val="left" w:pos="301"/>
                <w:tab w:val="left" w:pos="327"/>
              </w:tabs>
              <w:spacing w:after="0" w:line="240" w:lineRule="auto"/>
              <w:ind w:left="301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E26">
              <w:rPr>
                <w:rFonts w:ascii="Times New Roman" w:hAnsi="Times New Roman"/>
                <w:sz w:val="24"/>
                <w:szCs w:val="24"/>
              </w:rPr>
              <w:t>Закон України «Про управління об'єктами державної власності».</w:t>
            </w:r>
          </w:p>
        </w:tc>
      </w:tr>
      <w:tr w:rsidR="00985B90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872580" w:rsidRDefault="00985B90" w:rsidP="005461ED">
            <w:pPr>
              <w:jc w:val="center"/>
              <w:rPr>
                <w:caps/>
                <w:lang w:val="uk-UA"/>
              </w:rPr>
            </w:pPr>
            <w:r w:rsidRPr="0033133C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415" w:type="dxa"/>
          </w:tcPr>
          <w:p w:rsidR="00985B90" w:rsidRPr="00872580" w:rsidRDefault="00985B90" w:rsidP="00985B90">
            <w:pPr>
              <w:rPr>
                <w:lang w:val="uk-UA"/>
              </w:rPr>
            </w:pPr>
            <w:r w:rsidRPr="0033133C">
              <w:rPr>
                <w:lang w:val="uk-UA"/>
              </w:rPr>
              <w:t xml:space="preserve">Професійні знання </w:t>
            </w:r>
            <w:r>
              <w:rPr>
                <w:lang w:val="uk-UA"/>
              </w:rPr>
              <w:t>(відповідно до посади з урахуванням вимог спеціальних законів)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методи збору та аналізу інформації, підготовки аналітичної документації;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розуміння принципів аналізу фінансово-господарської діяльності;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знання стандартів аудиту та регламентації бізнес-процесів;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досконале знання державної мови;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 xml:space="preserve">знання англійської мови на рівні не нижче </w:t>
            </w:r>
            <w:proofErr w:type="spellStart"/>
            <w:r w:rsidRPr="00180F0D">
              <w:rPr>
                <w:rFonts w:ascii="Times New Roman" w:hAnsi="Times New Roman"/>
                <w:sz w:val="24"/>
                <w:szCs w:val="24"/>
              </w:rPr>
              <w:t>Upper-Intermediate</w:t>
            </w:r>
            <w:proofErr w:type="spellEnd"/>
            <w:r w:rsidRPr="00180F0D">
              <w:rPr>
                <w:rFonts w:ascii="Times New Roman" w:hAnsi="Times New Roman"/>
                <w:sz w:val="24"/>
                <w:szCs w:val="24"/>
              </w:rPr>
              <w:t xml:space="preserve"> (додаткове знання інших іноземних мов);</w:t>
            </w:r>
          </w:p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hAnsi="Times New Roman"/>
                <w:sz w:val="24"/>
                <w:szCs w:val="24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133" w:type="dxa"/>
            <w:gridSpan w:val="2"/>
          </w:tcPr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ділитися новим знаннями;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27D13">
              <w:rPr>
                <w:rFonts w:ascii="Times New Roman" w:hAnsi="Times New Roman"/>
                <w:sz w:val="24"/>
                <w:szCs w:val="24"/>
              </w:rPr>
              <w:t>вміння допомагати колегам при вирішенні складних завдань.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аналітичні здібності;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високий рівень розвитку дедуктивного та індуктивного мислення;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аналізувати багаторівневу інформацію;</w:t>
            </w:r>
          </w:p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інтуїція; </w:t>
            </w:r>
          </w:p>
          <w:p w:rsidR="00E07ABB" w:rsidRPr="00F27D13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415" w:type="dxa"/>
          </w:tcPr>
          <w:p w:rsidR="00E07ABB" w:rsidRPr="00521671" w:rsidRDefault="00E07ABB" w:rsidP="00820A13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6133" w:type="dxa"/>
            <w:gridSpan w:val="2"/>
          </w:tcPr>
          <w:p w:rsidR="00E07ABB" w:rsidRPr="00E72E3E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комунікабельність;</w:t>
            </w:r>
          </w:p>
          <w:p w:rsidR="00E07ABB" w:rsidRPr="002859E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здатність максимально використовувати власні можливості;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неупередженість та об’єктивність.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hAnsi="Times New Roman"/>
                <w:sz w:val="24"/>
                <w:szCs w:val="24"/>
              </w:rPr>
              <w:t>здатність виконувати колегіальну роботу;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інтелектуальна та емоційна зрілість.</w:t>
            </w:r>
          </w:p>
        </w:tc>
      </w:tr>
      <w:tr w:rsidR="00E07ABB" w:rsidRPr="007C040A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2.10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стресу.</w:t>
            </w:r>
          </w:p>
        </w:tc>
      </w:tr>
      <w:tr w:rsidR="00985B90" w:rsidRPr="00467908" w:rsidTr="006F0FB3">
        <w:trPr>
          <w:gridAfter w:val="1"/>
          <w:wAfter w:w="11" w:type="dxa"/>
        </w:trPr>
        <w:tc>
          <w:tcPr>
            <w:tcW w:w="704" w:type="dxa"/>
          </w:tcPr>
          <w:p w:rsidR="00985B90" w:rsidRPr="002B0AC2" w:rsidRDefault="00985B90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2.11</w:t>
            </w:r>
          </w:p>
        </w:tc>
        <w:tc>
          <w:tcPr>
            <w:tcW w:w="3415" w:type="dxa"/>
          </w:tcPr>
          <w:p w:rsidR="00985B90" w:rsidRPr="002B0AC2" w:rsidRDefault="00985B90" w:rsidP="00985B90">
            <w:pPr>
              <w:rPr>
                <w:lang w:val="uk-UA"/>
              </w:rPr>
            </w:pPr>
            <w:r w:rsidRPr="002B0AC2">
              <w:rPr>
                <w:lang w:val="uk-UA"/>
              </w:rPr>
              <w:t>Технічні вміння</w:t>
            </w:r>
          </w:p>
        </w:tc>
        <w:tc>
          <w:tcPr>
            <w:tcW w:w="6133" w:type="dxa"/>
            <w:gridSpan w:val="2"/>
          </w:tcPr>
          <w:p w:rsidR="00985B90" w:rsidRPr="00180F0D" w:rsidRDefault="00985B90" w:rsidP="00985B90">
            <w:pPr>
              <w:pStyle w:val="20"/>
              <w:numPr>
                <w:ilvl w:val="0"/>
                <w:numId w:val="2"/>
              </w:numPr>
              <w:spacing w:after="0" w:line="240" w:lineRule="auto"/>
              <w:ind w:left="273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F0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знання комп’ютерної техніки та програмного забезпечення, користування СУБД, досвідчений користувач MS Word, MS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 Excel, MS Visio, MS PowerPoint,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F0D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180F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B0AC2" w:rsidRDefault="00E07ABB" w:rsidP="005461ED">
            <w:pPr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2.12</w:t>
            </w:r>
          </w:p>
        </w:tc>
        <w:tc>
          <w:tcPr>
            <w:tcW w:w="3415" w:type="dxa"/>
          </w:tcPr>
          <w:p w:rsidR="00E07ABB" w:rsidRPr="002B0AC2" w:rsidRDefault="00E07ABB" w:rsidP="00820A13">
            <w:pPr>
              <w:rPr>
                <w:lang w:val="uk-UA"/>
              </w:rPr>
            </w:pPr>
            <w:r w:rsidRPr="002B0AC2">
              <w:rPr>
                <w:lang w:val="uk-UA"/>
              </w:rPr>
              <w:t>Особистісні компетенції</w:t>
            </w:r>
          </w:p>
        </w:tc>
        <w:tc>
          <w:tcPr>
            <w:tcW w:w="6133" w:type="dxa"/>
            <w:gridSpan w:val="2"/>
          </w:tcPr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логічність мислення;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добре розвинена пам'ять;</w:t>
            </w:r>
          </w:p>
          <w:p w:rsidR="00E07ABB" w:rsidRPr="002B0AC2" w:rsidRDefault="00E07ABB" w:rsidP="00E07ABB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позитивна репутація.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</w:tcPr>
          <w:p w:rsidR="00E07ABB" w:rsidRPr="002F35C2" w:rsidRDefault="00E07ABB" w:rsidP="00DE3A0C">
            <w:pPr>
              <w:jc w:val="center"/>
              <w:rPr>
                <w:b/>
                <w:caps/>
                <w:lang w:val="en-US"/>
              </w:rPr>
            </w:pPr>
            <w:r w:rsidRPr="002F35C2">
              <w:rPr>
                <w:b/>
                <w:caps/>
                <w:lang w:val="uk-UA"/>
              </w:rPr>
              <w:t>ІІІ</w:t>
            </w:r>
          </w:p>
        </w:tc>
        <w:tc>
          <w:tcPr>
            <w:tcW w:w="9548" w:type="dxa"/>
            <w:gridSpan w:val="3"/>
          </w:tcPr>
          <w:p w:rsidR="00E07ABB" w:rsidRPr="000E79C2" w:rsidRDefault="00E07ABB" w:rsidP="00820A13">
            <w:pPr>
              <w:pStyle w:val="1"/>
              <w:tabs>
                <w:tab w:val="left" w:pos="342"/>
              </w:tabs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9C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E07ABB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E07ABB" w:rsidRPr="002F35C2" w:rsidRDefault="00E07ABB" w:rsidP="00820A13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3.1</w:t>
            </w:r>
          </w:p>
        </w:tc>
        <w:tc>
          <w:tcPr>
            <w:tcW w:w="3415" w:type="dxa"/>
          </w:tcPr>
          <w:p w:rsidR="00E07ABB" w:rsidRPr="00B5309D" w:rsidRDefault="00E07ABB" w:rsidP="00820A13">
            <w:pPr>
              <w:rPr>
                <w:lang w:val="uk-UA"/>
              </w:rPr>
            </w:pPr>
            <w:r w:rsidRPr="00B5309D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на знання законодавства 1-го рівня (</w:t>
            </w:r>
            <w:hyperlink r:id="rId5" w:history="1">
              <w:r w:rsidRPr="00DF4EEA">
                <w:rPr>
                  <w:rStyle w:val="a3"/>
                  <w:rFonts w:ascii="Times New Roman" w:eastAsia="Calibri" w:hAnsi="Times New Roman"/>
                  <w:sz w:val="24"/>
                  <w:szCs w:val="24"/>
                  <w:lang w:eastAsia="ru-RU"/>
                </w:rPr>
                <w:t>https://nabu.gov.ua/perelik-pytan-do-kvalifikaciynogo-ispytu</w:t>
              </w:r>
            </w:hyperlink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);</w:t>
            </w:r>
          </w:p>
          <w:p w:rsid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884AE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тестування загальних здібностей;</w:t>
            </w:r>
          </w:p>
          <w:p w:rsidR="00E07ABB" w:rsidRPr="00210F0A" w:rsidRDefault="00DE3A0C" w:rsidP="00210F0A">
            <w:pPr>
              <w:pStyle w:val="10"/>
              <w:numPr>
                <w:ilvl w:val="0"/>
                <w:numId w:val="2"/>
              </w:numPr>
              <w:spacing w:after="0" w:line="240" w:lineRule="auto"/>
              <w:ind w:left="211" w:hanging="21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10F0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психологічне тестування</w:t>
            </w:r>
          </w:p>
        </w:tc>
      </w:tr>
      <w:tr w:rsidR="003B032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3B032C" w:rsidRPr="002F35C2" w:rsidRDefault="003B032C" w:rsidP="003B032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3.2</w:t>
            </w:r>
          </w:p>
        </w:tc>
        <w:tc>
          <w:tcPr>
            <w:tcW w:w="3415" w:type="dxa"/>
          </w:tcPr>
          <w:p w:rsidR="003B032C" w:rsidRPr="00846C1B" w:rsidRDefault="003B032C" w:rsidP="003B032C">
            <w:pPr>
              <w:rPr>
                <w:lang w:val="uk-UA"/>
              </w:rPr>
            </w:pPr>
            <w:r w:rsidRPr="00846C1B">
              <w:rPr>
                <w:lang w:val="uk-UA"/>
              </w:rPr>
              <w:t>Перелік документів:</w:t>
            </w:r>
          </w:p>
        </w:tc>
        <w:tc>
          <w:tcPr>
            <w:tcW w:w="6133" w:type="dxa"/>
            <w:gridSpan w:val="2"/>
          </w:tcPr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1) письмова заява про участь у конкурсі встановленого зразка;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2) копія паспорта громадянина України;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3) копія реєстраційної картки платника податків;</w:t>
            </w:r>
          </w:p>
          <w:p w:rsidR="003B032C" w:rsidRDefault="003B032C" w:rsidP="003B032C">
            <w:pPr>
              <w:shd w:val="clear" w:color="auto" w:fill="FFFFFF"/>
              <w:jc w:val="both"/>
              <w:rPr>
                <w:lang w:val="uk-UA" w:eastAsia="uk-UA"/>
              </w:rPr>
            </w:pPr>
            <w:r>
              <w:t>4) </w:t>
            </w:r>
            <w:r>
              <w:rPr>
                <w:lang w:val="uk-UA" w:eastAsia="uk-UA"/>
              </w:rPr>
              <w:t xml:space="preserve">заповнену власноруч або за допомогою комп’ютера анкету кандидата </w:t>
            </w:r>
            <w:proofErr w:type="gramStart"/>
            <w:r>
              <w:rPr>
                <w:lang w:val="uk-UA" w:eastAsia="uk-UA"/>
              </w:rPr>
              <w:t>на посаду</w:t>
            </w:r>
            <w:proofErr w:type="gramEnd"/>
            <w:r>
              <w:rPr>
                <w:lang w:val="uk-UA" w:eastAsia="uk-UA"/>
              </w:rPr>
              <w:t xml:space="preserve"> до Національного антикорупційного бюро України та заповнену власноруч автобіографію;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5) копія трудової книжки або витяг з послужного списку;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>6) фотокартка розміром 4 х 6 см;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>7) копія (копії) документа (документів) про освіту із додатками, присвоєння вченого звання, присудження наукового ступеня;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rvts0"/>
              </w:rPr>
            </w:pPr>
            <w:r>
              <w:t>8) 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Style w:val="rvts0"/>
              </w:rPr>
              <w:t>;</w:t>
            </w:r>
          </w:p>
          <w:p w:rsidR="003B032C" w:rsidRDefault="003B032C" w:rsidP="00F25B4B">
            <w:pPr>
              <w:tabs>
                <w:tab w:val="left" w:pos="0"/>
              </w:tabs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9</w:t>
            </w:r>
            <w:r>
              <w:t>) </w:t>
            </w:r>
            <w:r>
              <w:rPr>
                <w:lang w:val="uk-UA"/>
              </w:rPr>
              <w:t xml:space="preserve">роздрукована копія декларації особи, уповноваженої на виконання функцій держави або місцевого самоврядування (за 2021 рік) поданої у порядку, встановленому Законом України «Про запобігання корупції», як кандидата на посаду </w:t>
            </w:r>
            <w:r>
              <w:rPr>
                <w:b/>
                <w:lang w:val="uk-UA"/>
              </w:rPr>
              <w:t>із зазначенням посади кандидата «</w:t>
            </w:r>
            <w:r w:rsidR="00F25B4B">
              <w:rPr>
                <w:b/>
                <w:bCs/>
                <w:lang w:val="uk-UA"/>
              </w:rPr>
              <w:t>Д</w:t>
            </w:r>
            <w:r w:rsidRPr="003B032C">
              <w:rPr>
                <w:b/>
                <w:bCs/>
                <w:lang w:val="uk-UA"/>
              </w:rPr>
              <w:t xml:space="preserve">етектив Національного бюро </w:t>
            </w:r>
            <w:r w:rsidR="00F25B4B" w:rsidRPr="00F25B4B">
              <w:rPr>
                <w:b/>
                <w:bCs/>
                <w:lang w:val="uk-UA"/>
              </w:rPr>
              <w:t>відділу детективів по виявленню неправомірної вигоди та незаконного збагачення</w:t>
            </w:r>
            <w:r w:rsidR="00F25B4B">
              <w:rPr>
                <w:b/>
                <w:bCs/>
                <w:lang w:val="uk-UA"/>
              </w:rPr>
              <w:t xml:space="preserve"> </w:t>
            </w:r>
            <w:r w:rsidR="00F25B4B" w:rsidRPr="00F25B4B">
              <w:rPr>
                <w:b/>
                <w:bCs/>
                <w:lang w:val="uk-UA"/>
              </w:rPr>
              <w:t>Управління аналітики та обробки інформації</w:t>
            </w:r>
            <w:r w:rsidRPr="003B032C">
              <w:rPr>
                <w:b/>
                <w:bCs/>
                <w:lang w:val="uk-UA"/>
              </w:rPr>
              <w:t xml:space="preserve"> Управління аналітики та обробки інформації</w:t>
            </w:r>
            <w:r>
              <w:rPr>
                <w:b/>
                <w:lang w:val="uk-UA"/>
              </w:rPr>
              <w:t>».</w:t>
            </w:r>
            <w:r w:rsidR="00554448">
              <w:rPr>
                <w:i/>
                <w:lang w:val="uk-UA"/>
              </w:rPr>
              <w:t xml:space="preserve"> *</w:t>
            </w:r>
          </w:p>
          <w:p w:rsidR="00554448" w:rsidRDefault="00554448" w:rsidP="00554448">
            <w:pPr>
              <w:ind w:firstLine="284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*Особи, які беруть участь у конкурсі на вакантні посади </w:t>
            </w:r>
            <w:r>
              <w:rPr>
                <w:b/>
                <w:i/>
                <w:lang w:val="uk-UA"/>
              </w:rPr>
              <w:t xml:space="preserve">у період дії воєнного стану, можуть не подавати до конкурсної комісії Національного бюро роздруковану копію декларації </w:t>
            </w:r>
            <w:r>
              <w:rPr>
                <w:i/>
                <w:lang w:val="uk-UA"/>
              </w:rPr>
              <w:t>особи, уповноваженої на виконання функцій держави або місцевого самоврядування, за минулий рік.</w:t>
            </w:r>
          </w:p>
          <w:p w:rsidR="00554448" w:rsidRDefault="00554448" w:rsidP="00554448">
            <w:pPr>
              <w:ind w:firstLine="284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Особи призначені на посади у період дії воєнного стану, подають роздруковану копію зазначеної декларації протягом трьох місяців з дня припинення чи скасування воєнного стану до Управління внутрішнього контролю Національного бюро для забезпечення проведення спеціальної перевірки.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10) письмова заява, в якій повідомляє, що до неї не застосовуються заборони, визначені частиною </w:t>
            </w:r>
            <w:hyperlink r:id="rId6" w:anchor="n13" w:tgtFrame="_blank" w:history="1">
              <w:r>
                <w:rPr>
                  <w:rStyle w:val="a3"/>
                </w:rPr>
                <w:t>третьою</w:t>
              </w:r>
            </w:hyperlink>
            <w:r>
              <w:t xml:space="preserve"> або </w:t>
            </w:r>
            <w:hyperlink r:id="rId7" w:anchor="n14" w:tgtFrame="_blank" w:history="1">
              <w:r>
                <w:rPr>
                  <w:rStyle w:val="a3"/>
                </w:rPr>
                <w:t>четвертою</w:t>
              </w:r>
            </w:hyperlink>
            <w:r>
              <w:t xml:space="preserve"> статті 1 Закону України “Про очищення влади”, та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перевірки.</w:t>
            </w:r>
          </w:p>
          <w:p w:rsidR="003B032C" w:rsidRDefault="003B032C" w:rsidP="003B032C">
            <w:pPr>
              <w:ind w:firstLine="284"/>
              <w:jc w:val="both"/>
              <w:rPr>
                <w:sz w:val="16"/>
                <w:szCs w:val="16"/>
                <w:lang w:val="uk-UA"/>
              </w:rPr>
            </w:pPr>
          </w:p>
          <w:p w:rsidR="003B032C" w:rsidRDefault="003B032C" w:rsidP="003B032C">
            <w:pPr>
              <w:ind w:firstLine="284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Направлення лише заяви або резюме не є підставою для участі у конкурсі.</w:t>
            </w:r>
          </w:p>
          <w:p w:rsidR="003B032C" w:rsidRDefault="003B032C" w:rsidP="003B032C">
            <w:pPr>
              <w:ind w:firstLine="284"/>
              <w:jc w:val="both"/>
              <w:rPr>
                <w:sz w:val="16"/>
                <w:szCs w:val="16"/>
                <w:lang w:val="uk-UA"/>
              </w:rPr>
            </w:pP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>
              <w:t>Працівники Національного бюро, які бажають взяти участь у конкурсі, зазначених документів до заяви не додають, подають лише заяву про участь у конкурсі.</w:t>
            </w:r>
          </w:p>
          <w:p w:rsidR="003B032C" w:rsidRDefault="003B032C" w:rsidP="003B032C">
            <w:pPr>
              <w:pStyle w:val="a6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16"/>
                <w:szCs w:val="16"/>
              </w:rPr>
            </w:pPr>
          </w:p>
          <w:p w:rsidR="003B032C" w:rsidRDefault="003B032C" w:rsidP="003B032C">
            <w:pPr>
              <w:tabs>
                <w:tab w:val="left" w:pos="273"/>
              </w:tabs>
              <w:spacing w:line="272" w:lineRule="exact"/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(</w:t>
            </w:r>
            <w:hyperlink r:id="rId8" w:history="1">
              <w:r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3B032C" w:rsidRDefault="003B032C" w:rsidP="003B032C">
            <w:pPr>
              <w:tabs>
                <w:tab w:val="left" w:pos="27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Порядок проведення відкритого конкурсу, розділ ІІІ).</w:t>
            </w:r>
          </w:p>
          <w:p w:rsidR="003B032C" w:rsidRPr="00D2774E" w:rsidRDefault="003B032C" w:rsidP="003B032C">
            <w:pPr>
              <w:tabs>
                <w:tab w:val="left" w:pos="273"/>
              </w:tabs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3.3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Термін подання документів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D2774E" w:rsidRDefault="00DE3A0C" w:rsidP="00467908">
            <w:pPr>
              <w:jc w:val="both"/>
              <w:rPr>
                <w:sz w:val="10"/>
                <w:szCs w:val="10"/>
                <w:lang w:val="uk-UA"/>
              </w:rPr>
            </w:pPr>
            <w:r w:rsidRPr="008E7053">
              <w:rPr>
                <w:kern w:val="36"/>
                <w:lang w:val="uk-UA"/>
              </w:rPr>
              <w:t>Протягом 1</w:t>
            </w:r>
            <w:r w:rsidR="006F0FB3" w:rsidRPr="008E7053">
              <w:rPr>
                <w:kern w:val="36"/>
                <w:lang w:val="uk-UA"/>
              </w:rPr>
              <w:t>0</w:t>
            </w:r>
            <w:r w:rsidRPr="008E7053">
              <w:rPr>
                <w:kern w:val="36"/>
                <w:lang w:val="uk-UA"/>
              </w:rPr>
              <w:t xml:space="preserve"> календарних днів </w:t>
            </w:r>
            <w:bookmarkStart w:id="0" w:name="_GoBack"/>
            <w:bookmarkEnd w:id="0"/>
          </w:p>
        </w:tc>
      </w:tr>
      <w:tr w:rsidR="00DE3A0C" w:rsidRPr="00872580" w:rsidTr="00467908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3.4</w:t>
            </w:r>
          </w:p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6133" w:type="dxa"/>
            <w:gridSpan w:val="2"/>
            <w:vAlign w:val="center"/>
          </w:tcPr>
          <w:p w:rsidR="00DE3A0C" w:rsidRPr="00846C1B" w:rsidRDefault="00DE3A0C" w:rsidP="00467908">
            <w:pPr>
              <w:rPr>
                <w:lang w:val="uk-UA"/>
              </w:rPr>
            </w:pPr>
            <w:r w:rsidRPr="00846C1B">
              <w:rPr>
                <w:lang w:val="uk-UA"/>
              </w:rPr>
              <w:t>03035, м. Київ, вул. Василя Сурикова, 3</w:t>
            </w:r>
          </w:p>
        </w:tc>
      </w:tr>
      <w:tr w:rsidR="00DE3A0C" w:rsidRPr="00521671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3.5</w:t>
            </w:r>
          </w:p>
        </w:tc>
        <w:tc>
          <w:tcPr>
            <w:tcW w:w="3415" w:type="dxa"/>
          </w:tcPr>
          <w:p w:rsidR="00DE3A0C" w:rsidRPr="00846C1B" w:rsidRDefault="00DE3A0C" w:rsidP="00DE3A0C">
            <w:pPr>
              <w:rPr>
                <w:lang w:val="uk-UA"/>
              </w:rPr>
            </w:pPr>
            <w:r w:rsidRPr="00846C1B">
              <w:rPr>
                <w:lang w:val="uk-UA"/>
              </w:rPr>
              <w:t>Контактні дані</w:t>
            </w:r>
          </w:p>
        </w:tc>
        <w:tc>
          <w:tcPr>
            <w:tcW w:w="6133" w:type="dxa"/>
            <w:gridSpan w:val="2"/>
          </w:tcPr>
          <w:p w:rsidR="00DE3A0C" w:rsidRDefault="00DE3A0C" w:rsidP="00DE3A0C">
            <w:pPr>
              <w:jc w:val="both"/>
              <w:rPr>
                <w:lang w:val="uk-UA"/>
              </w:rPr>
            </w:pPr>
            <w:r w:rsidRPr="0053580D">
              <w:rPr>
                <w:b/>
                <w:bCs/>
                <w:lang w:val="uk-UA"/>
              </w:rPr>
              <w:t>E-</w:t>
            </w:r>
            <w:proofErr w:type="spellStart"/>
            <w:r w:rsidRPr="0053580D">
              <w:rPr>
                <w:b/>
                <w:bCs/>
                <w:lang w:val="uk-UA"/>
              </w:rPr>
              <w:t>mail</w:t>
            </w:r>
            <w:proofErr w:type="spellEnd"/>
            <w:r w:rsidRPr="0053580D">
              <w:rPr>
                <w:b/>
                <w:bCs/>
                <w:lang w:val="uk-UA"/>
              </w:rPr>
              <w:t>:</w:t>
            </w:r>
            <w:r w:rsidRPr="0053580D">
              <w:rPr>
                <w:lang w:val="uk-UA"/>
              </w:rPr>
              <w:t> </w:t>
            </w:r>
            <w:hyperlink r:id="rId9" w:history="1">
              <w:r w:rsidRPr="0053580D">
                <w:rPr>
                  <w:rStyle w:val="a3"/>
                  <w:lang w:val="uk-UA"/>
                </w:rPr>
                <w:t>commission1@nabu.gov.ua</w:t>
              </w:r>
            </w:hyperlink>
          </w:p>
          <w:p w:rsidR="00DE3A0C" w:rsidRDefault="00DE3A0C" w:rsidP="00DE3A0C">
            <w:pPr>
              <w:jc w:val="both"/>
              <w:rPr>
                <w:lang w:val="uk-UA"/>
              </w:rPr>
            </w:pPr>
            <w:r w:rsidRPr="00C62142">
              <w:rPr>
                <w:lang w:val="uk-UA"/>
              </w:rPr>
              <w:t>(044) 246-32-96</w:t>
            </w:r>
          </w:p>
          <w:p w:rsidR="00DE3A0C" w:rsidRPr="00D2774E" w:rsidRDefault="00DE3A0C" w:rsidP="00DE3A0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lastRenderedPageBreak/>
              <w:t>3.6</w:t>
            </w:r>
          </w:p>
        </w:tc>
        <w:tc>
          <w:tcPr>
            <w:tcW w:w="3415" w:type="dxa"/>
          </w:tcPr>
          <w:p w:rsidR="00DE3A0C" w:rsidRPr="00872580" w:rsidRDefault="00DE3A0C" w:rsidP="00DE3A0C">
            <w:pPr>
              <w:rPr>
                <w:lang w:val="uk-UA"/>
              </w:rPr>
            </w:pPr>
            <w:r w:rsidRPr="00521671">
              <w:rPr>
                <w:lang w:val="uk-UA"/>
              </w:rPr>
              <w:t>Умови оплати праці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E3A0C" w:rsidRPr="006F0FB3" w:rsidRDefault="00DE3A0C" w:rsidP="00DE3A0C">
            <w:pPr>
              <w:shd w:val="clear" w:color="auto" w:fill="FFFFFF" w:themeFill="background1"/>
              <w:jc w:val="both"/>
              <w:rPr>
                <w:kern w:val="36"/>
                <w:lang w:val="uk-UA"/>
              </w:rPr>
            </w:pPr>
            <w:r w:rsidRPr="006F0FB3">
              <w:rPr>
                <w:kern w:val="36"/>
                <w:lang w:val="uk-UA"/>
              </w:rPr>
              <w:t xml:space="preserve">Посадовий оклад: </w:t>
            </w:r>
            <w:r w:rsidR="00F25B4B">
              <w:rPr>
                <w:kern w:val="36"/>
                <w:lang w:val="uk-UA"/>
              </w:rPr>
              <w:t>6</w:t>
            </w:r>
            <w:r w:rsidR="00386813">
              <w:rPr>
                <w:kern w:val="36"/>
                <w:lang w:val="uk-UA"/>
              </w:rPr>
              <w:t>1</w:t>
            </w:r>
            <w:r w:rsidR="00F25B4B">
              <w:rPr>
                <w:kern w:val="36"/>
                <w:lang w:val="uk-UA"/>
              </w:rPr>
              <w:t xml:space="preserve"> </w:t>
            </w:r>
            <w:r w:rsidR="00386813">
              <w:rPr>
                <w:kern w:val="36"/>
                <w:lang w:val="uk-UA"/>
              </w:rPr>
              <w:t>195</w:t>
            </w:r>
            <w:r w:rsidRPr="006F0FB3">
              <w:rPr>
                <w:kern w:val="36"/>
                <w:lang w:val="uk-UA"/>
              </w:rPr>
              <w:t>,00 грн.*</w:t>
            </w:r>
            <w:r w:rsidR="00127DC8" w:rsidRPr="006F0FB3">
              <w:rPr>
                <w:kern w:val="36"/>
                <w:lang w:val="uk-UA"/>
              </w:rPr>
              <w:t>*</w:t>
            </w:r>
          </w:p>
          <w:p w:rsidR="00DE3A0C" w:rsidRPr="006F0FB3" w:rsidRDefault="00DE3A0C" w:rsidP="00DE3A0C">
            <w:pPr>
              <w:jc w:val="both"/>
              <w:rPr>
                <w:kern w:val="36"/>
                <w:sz w:val="12"/>
                <w:lang w:val="uk-UA"/>
              </w:rPr>
            </w:pPr>
          </w:p>
          <w:p w:rsidR="00DE3A0C" w:rsidRDefault="00DE3A0C" w:rsidP="00DE3A0C">
            <w:pPr>
              <w:jc w:val="both"/>
              <w:rPr>
                <w:kern w:val="36"/>
                <w:lang w:val="uk-UA"/>
              </w:rPr>
            </w:pPr>
            <w:r w:rsidRPr="006F0FB3">
              <w:rPr>
                <w:kern w:val="36"/>
                <w:lang w:val="uk-UA"/>
              </w:rPr>
              <w:t>Доплати: відповідно до статті 23 Закону України «Про Національне антикорупційне бюро України</w:t>
            </w:r>
          </w:p>
          <w:p w:rsidR="00DE3A0C" w:rsidRPr="0080028A" w:rsidRDefault="00DE3A0C" w:rsidP="00DE3A0C">
            <w:pPr>
              <w:jc w:val="both"/>
              <w:rPr>
                <w:kern w:val="36"/>
                <w:sz w:val="10"/>
                <w:szCs w:val="10"/>
              </w:rPr>
            </w:pPr>
          </w:p>
        </w:tc>
      </w:tr>
      <w:tr w:rsidR="00DE3A0C" w:rsidRPr="00872580" w:rsidTr="006F0FB3">
        <w:trPr>
          <w:gridAfter w:val="1"/>
          <w:wAfter w:w="11" w:type="dxa"/>
        </w:trPr>
        <w:tc>
          <w:tcPr>
            <w:tcW w:w="704" w:type="dxa"/>
            <w:shd w:val="clear" w:color="auto" w:fill="auto"/>
          </w:tcPr>
          <w:p w:rsidR="00DE3A0C" w:rsidRPr="002F35C2" w:rsidRDefault="00DE3A0C" w:rsidP="00DE3A0C">
            <w:pPr>
              <w:jc w:val="center"/>
              <w:rPr>
                <w:caps/>
                <w:lang w:val="uk-UA"/>
              </w:rPr>
            </w:pPr>
            <w:r w:rsidRPr="002F35C2">
              <w:rPr>
                <w:caps/>
                <w:lang w:val="uk-UA"/>
              </w:rPr>
              <w:t>3.7</w:t>
            </w:r>
          </w:p>
        </w:tc>
        <w:tc>
          <w:tcPr>
            <w:tcW w:w="3415" w:type="dxa"/>
          </w:tcPr>
          <w:p w:rsidR="00DE3A0C" w:rsidRPr="00521671" w:rsidRDefault="00DE3A0C" w:rsidP="00DE3A0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133" w:type="dxa"/>
            <w:gridSpan w:val="2"/>
          </w:tcPr>
          <w:p w:rsidR="00DE3A0C" w:rsidRPr="006F0FB3" w:rsidRDefault="00DE3A0C" w:rsidP="00DE3A0C">
            <w:pPr>
              <w:jc w:val="both"/>
              <w:rPr>
                <w:lang w:val="uk-UA"/>
              </w:rPr>
            </w:pPr>
            <w:r w:rsidRPr="00DF705D">
              <w:rPr>
                <w:lang w:val="uk-UA"/>
              </w:rPr>
              <w:t>м. Київ, вул. Василя Сурикова, 3 (адміністративна будівля Національного бюро)</w:t>
            </w:r>
          </w:p>
        </w:tc>
      </w:tr>
    </w:tbl>
    <w:p w:rsidR="00E07ABB" w:rsidRDefault="00E07ABB" w:rsidP="00E07ABB">
      <w:pPr>
        <w:jc w:val="center"/>
        <w:rPr>
          <w:lang w:val="uk-UA"/>
        </w:rPr>
      </w:pPr>
      <w:r w:rsidRPr="00872580">
        <w:rPr>
          <w:lang w:val="uk-UA"/>
        </w:rPr>
        <w:t xml:space="preserve"> </w:t>
      </w:r>
    </w:p>
    <w:p w:rsidR="00A422ED" w:rsidRPr="006F0FB3" w:rsidRDefault="00127DC8" w:rsidP="006F0FB3">
      <w:pPr>
        <w:ind w:firstLine="708"/>
        <w:jc w:val="both"/>
        <w:rPr>
          <w:lang w:val="uk-UA"/>
        </w:rPr>
      </w:pPr>
      <w:r w:rsidRPr="006F0FB3">
        <w:rPr>
          <w:kern w:val="36"/>
          <w:lang w:val="uk-UA"/>
        </w:rPr>
        <w:t>*</w:t>
      </w:r>
      <w:r w:rsidR="00E07ABB"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sectPr w:rsidR="00A422ED" w:rsidRPr="006F0FB3" w:rsidSect="006F0FB3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79AE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F01D8"/>
    <w:multiLevelType w:val="hybridMultilevel"/>
    <w:tmpl w:val="F904BA2E"/>
    <w:lvl w:ilvl="0" w:tplc="2AD6D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F4A4E"/>
    <w:multiLevelType w:val="hybridMultilevel"/>
    <w:tmpl w:val="08AACEC4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DE667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i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9A01B9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1E96C2CE"/>
    <w:lvl w:ilvl="0" w:tplc="E828D8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B3"/>
    <w:rsid w:val="00001D9B"/>
    <w:rsid w:val="0001213D"/>
    <w:rsid w:val="00127DC8"/>
    <w:rsid w:val="0015039A"/>
    <w:rsid w:val="001566F0"/>
    <w:rsid w:val="001651AC"/>
    <w:rsid w:val="001E4284"/>
    <w:rsid w:val="00210F0A"/>
    <w:rsid w:val="00223CED"/>
    <w:rsid w:val="00261DF1"/>
    <w:rsid w:val="0027379B"/>
    <w:rsid w:val="00287B73"/>
    <w:rsid w:val="00297186"/>
    <w:rsid w:val="002A588C"/>
    <w:rsid w:val="0032719F"/>
    <w:rsid w:val="00361FA0"/>
    <w:rsid w:val="003643ED"/>
    <w:rsid w:val="00386813"/>
    <w:rsid w:val="003B032C"/>
    <w:rsid w:val="003C1357"/>
    <w:rsid w:val="003E0235"/>
    <w:rsid w:val="003F36C1"/>
    <w:rsid w:val="00467908"/>
    <w:rsid w:val="004F3B07"/>
    <w:rsid w:val="0054527B"/>
    <w:rsid w:val="005461ED"/>
    <w:rsid w:val="00554448"/>
    <w:rsid w:val="005A54A0"/>
    <w:rsid w:val="00637E9B"/>
    <w:rsid w:val="006E001B"/>
    <w:rsid w:val="006F0FB3"/>
    <w:rsid w:val="007A7411"/>
    <w:rsid w:val="008247E3"/>
    <w:rsid w:val="00883034"/>
    <w:rsid w:val="00884AE1"/>
    <w:rsid w:val="008D3893"/>
    <w:rsid w:val="008E7053"/>
    <w:rsid w:val="00911620"/>
    <w:rsid w:val="009360D8"/>
    <w:rsid w:val="00942A1A"/>
    <w:rsid w:val="00943831"/>
    <w:rsid w:val="00973D64"/>
    <w:rsid w:val="00985B90"/>
    <w:rsid w:val="00991542"/>
    <w:rsid w:val="00A401EE"/>
    <w:rsid w:val="00AA3A42"/>
    <w:rsid w:val="00AF5FF4"/>
    <w:rsid w:val="00B26A47"/>
    <w:rsid w:val="00B46F58"/>
    <w:rsid w:val="00B578B6"/>
    <w:rsid w:val="00CB1716"/>
    <w:rsid w:val="00CB5EB3"/>
    <w:rsid w:val="00D07057"/>
    <w:rsid w:val="00D208C5"/>
    <w:rsid w:val="00D2528B"/>
    <w:rsid w:val="00D96E67"/>
    <w:rsid w:val="00DE3A0C"/>
    <w:rsid w:val="00E07ABB"/>
    <w:rsid w:val="00EC0ABF"/>
    <w:rsid w:val="00EC7B96"/>
    <w:rsid w:val="00F25B4B"/>
    <w:rsid w:val="00F5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7F02"/>
  <w15:chartTrackingRefBased/>
  <w15:docId w15:val="{32374252-8BE3-4489-B694-3997946E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BB"/>
    <w:pPr>
      <w:spacing w:after="0" w:line="240" w:lineRule="auto"/>
    </w:pPr>
    <w:rPr>
      <w:rFonts w:eastAsia="Calibri" w:cs="Times New Roman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consplusnormal">
    <w:name w:val="consplusnormal"/>
    <w:basedOn w:val="a"/>
    <w:rsid w:val="00E07ABB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E07ABB"/>
    <w:rPr>
      <w:color w:val="0000FF"/>
      <w:u w:val="single"/>
    </w:rPr>
  </w:style>
  <w:style w:type="paragraph" w:customStyle="1" w:styleId="2">
    <w:name w:val="Стиль таблицы 2"/>
    <w:rsid w:val="00E07ABB"/>
    <w:pPr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customStyle="1" w:styleId="10">
    <w:name w:val="Абзац списку1"/>
    <w:basedOn w:val="a"/>
    <w:rsid w:val="00E07AB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ListParagraph1">
    <w:name w:val="List Paragraph1"/>
    <w:basedOn w:val="a"/>
    <w:rsid w:val="00287B73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paragraph" w:customStyle="1" w:styleId="20">
    <w:name w:val="Абзац списку2"/>
    <w:basedOn w:val="a"/>
    <w:rsid w:val="00985B90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en-US"/>
    </w:rPr>
  </w:style>
  <w:style w:type="character" w:customStyle="1" w:styleId="rvts0">
    <w:name w:val="rvts0"/>
    <w:rsid w:val="003E0235"/>
  </w:style>
  <w:style w:type="paragraph" w:customStyle="1" w:styleId="a4">
    <w:name w:val="По умолчанию"/>
    <w:rsid w:val="003E0235"/>
    <w:pPr>
      <w:spacing w:after="0" w:line="240" w:lineRule="auto"/>
    </w:pPr>
    <w:rPr>
      <w:rFonts w:ascii="Arial Unicode MS" w:eastAsia="Arial Unicode MS" w:hAnsi="Helvetica" w:cs="Arial Unicode MS"/>
      <w:color w:val="000000"/>
      <w:sz w:val="22"/>
      <w:lang w:val="ru-RU"/>
    </w:rPr>
  </w:style>
  <w:style w:type="paragraph" w:styleId="a5">
    <w:name w:val="List Paragraph"/>
    <w:basedOn w:val="a"/>
    <w:uiPriority w:val="34"/>
    <w:qFormat/>
    <w:rsid w:val="006F0FB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B032C"/>
    <w:pPr>
      <w:spacing w:before="100" w:beforeAutospacing="1" w:after="100" w:afterAutospacing="1"/>
    </w:pPr>
    <w:rPr>
      <w:rFonts w:eastAsia="Times New Roman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poryadok-provedennya-vidkrytogo-konkurs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1682-18/paran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1682-18/paran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mission1@nabu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6314</Words>
  <Characters>3600</Characters>
  <Application>Microsoft Office Word</Application>
  <DocSecurity>0</DocSecurity>
  <Lines>30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КМЮ</dc:creator>
  <cp:keywords/>
  <dc:description/>
  <cp:lastModifiedBy>Захарченко Ірина Олександрівна</cp:lastModifiedBy>
  <cp:revision>5</cp:revision>
  <dcterms:created xsi:type="dcterms:W3CDTF">2022-12-27T08:20:00Z</dcterms:created>
  <dcterms:modified xsi:type="dcterms:W3CDTF">2023-01-03T07:34:00Z</dcterms:modified>
</cp:coreProperties>
</file>