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837DD4" w:rsidRDefault="00331EB5" w:rsidP="005D2410">
      <w:pPr>
        <w:rPr>
          <w:b/>
          <w:sz w:val="20"/>
          <w:szCs w:val="20"/>
          <w:lang w:val="uk-UA"/>
        </w:rPr>
      </w:pP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>ПРОФІЛЬ ПОСАДИ</w:t>
      </w:r>
      <w:r w:rsidRPr="00837DD4">
        <w:rPr>
          <w:b/>
          <w:sz w:val="28"/>
          <w:szCs w:val="28"/>
          <w:lang w:val="uk-UA"/>
        </w:rPr>
        <w:br/>
        <w:t>«Старший детектив Національного бюро відділу запобігання корупції</w:t>
      </w: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837DD4" w:rsidRDefault="00331EB5" w:rsidP="00331EB5">
      <w:pPr>
        <w:jc w:val="center"/>
        <w:rPr>
          <w:bCs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27"/>
        <w:gridCol w:w="330"/>
        <w:gridCol w:w="3692"/>
        <w:gridCol w:w="618"/>
        <w:gridCol w:w="4997"/>
        <w:gridCol w:w="285"/>
        <w:gridCol w:w="9"/>
      </w:tblGrid>
      <w:tr w:rsidR="00331EB5" w:rsidRPr="00837DD4" w:rsidTr="007B3EE9">
        <w:trPr>
          <w:gridBefore w:val="1"/>
          <w:gridAfter w:val="2"/>
          <w:wBefore w:w="426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837DD4" w:rsidRDefault="005D2410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7B3EE9">
        <w:trPr>
          <w:gridBefore w:val="1"/>
          <w:gridAfter w:val="2"/>
          <w:wBefore w:w="426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331EB5" w:rsidRPr="00837DD4" w:rsidRDefault="00785E49" w:rsidP="007B3EE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Т.в.п. </w:t>
            </w:r>
            <w:r w:rsidR="00331EB5" w:rsidRPr="00837D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331EB5" w:rsidRPr="00837D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="007F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Гізо УГЛАВА</w:t>
            </w:r>
          </w:p>
        </w:tc>
      </w:tr>
      <w:tr w:rsidR="00331EB5" w:rsidRPr="00837DD4" w:rsidTr="007B3EE9">
        <w:trPr>
          <w:gridBefore w:val="1"/>
          <w:gridAfter w:val="2"/>
          <w:wBefore w:w="426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837DD4" w:rsidTr="007B3EE9">
        <w:trPr>
          <w:gridBefore w:val="1"/>
          <w:gridAfter w:val="2"/>
          <w:wBefore w:w="426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997" w:type="dxa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7B3EE9">
        <w:trPr>
          <w:gridBefore w:val="1"/>
          <w:gridAfter w:val="2"/>
          <w:wBefore w:w="426" w:type="dxa"/>
          <w:wAfter w:w="294" w:type="dxa"/>
          <w:trHeight w:val="307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5D2410" w:rsidRDefault="00372701" w:rsidP="003727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«17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B64CE4">
              <w:rPr>
                <w:rFonts w:ascii="Times New Roman" w:hAnsi="Times New Roman"/>
                <w:sz w:val="24"/>
                <w:szCs w:val="24"/>
                <w:lang w:val="uk-UA"/>
              </w:rPr>
              <w:t>січня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85E4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331EB5" w:rsidRPr="00837DD4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56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Національне антикорупційне бюро України</w:t>
            </w:r>
          </w:p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(далі – Національне бюро)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Відділ запобігання корупції Управління внутрішнього контролю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Старший детектив Національного бюро 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 xml:space="preserve">Категорія посади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372701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Мета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Виконання завдання із попередження, виявлення та припинення корупційних, пов’язаних з корупцією та інших правопорушень з боку працівників Національного бюро.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участь у розбудові та розвитку системи внутрішнього контролю відповідно до  стратегічних цілей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розробці та реалізації перспективних, поточних й оперативних планів;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аналітично-пошукових заходів з метою попередження, виявлення та припинення корупційних, пов’язаних з корупцією та інших правопорушень з боку працівників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>здійснення оперативно-розшукових заходів і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</w:t>
            </w:r>
            <w:r w:rsidRPr="00EA5792">
              <w:rPr>
                <w:lang w:val="uk-UA"/>
              </w:rPr>
              <w:t>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  <w:bookmarkStart w:id="1" w:name="n291"/>
            <w:bookmarkEnd w:id="1"/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виявленні та управлінні корупційними ризиками в діяльності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актуалізації та участь у реалізації положень Антикорупційної програми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розробка проєктів внутрішніх нормативно-розпорядчих актів та опрацювання проєктів законодавчих актів, які регулюють питання запобігання та виявлення корупції;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консультування та навчання працівників Національного бюро з питань дотримання правил етичної поведінки та вимог антикорупційного законодавства;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lastRenderedPageBreak/>
              <w:t>проведення перевірок на доброчесність та моніторингу способу життя працівників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 xml:space="preserve">проведення спеціальної перевірки стосовно осіб, які претендують на призначення на посади у Національному бюро, </w:t>
            </w:r>
            <w:r w:rsidRPr="00EA5792">
              <w:rPr>
                <w:bCs/>
                <w:lang w:val="uk-UA" w:bidi="uk-UA"/>
              </w:rPr>
              <w:t>та вивчення їх особистих, ділових і моральних якостей</w:t>
            </w:r>
            <w:r w:rsidRPr="00EA5792">
              <w:rPr>
                <w:lang w:val="uk-UA"/>
              </w:rPr>
              <w:t xml:space="preserve">; 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розробці програм оцінки працівників, мотиваційних програм та програм розвитку працівників;</w:t>
            </w:r>
          </w:p>
          <w:p w:rsidR="00331EB5" w:rsidRP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підготовка пропозицій щодо їх усунення.</w:t>
            </w:r>
          </w:p>
        </w:tc>
      </w:tr>
      <w:tr w:rsidR="00331EB5" w:rsidRPr="00837DD4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756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0357" w:type="dxa"/>
            <w:gridSpan w:val="7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Загальні вимоги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vMerge w:val="restart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Освіта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Вища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vMerge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Ступінь вищої освіти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331EB5" w:rsidRPr="007F39B4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156ECB" w:rsidRDefault="00331EB5" w:rsidP="007B3EE9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1.2</w:t>
            </w:r>
          </w:p>
        </w:tc>
        <w:tc>
          <w:tcPr>
            <w:tcW w:w="3692" w:type="dxa"/>
            <w:shd w:val="clear" w:color="auto" w:fill="auto"/>
          </w:tcPr>
          <w:p w:rsidR="00331EB5" w:rsidRPr="00156ECB" w:rsidRDefault="00331EB5" w:rsidP="007B3EE9">
            <w:pPr>
              <w:rPr>
                <w:caps/>
                <w:lang w:val="uk-UA"/>
              </w:rPr>
            </w:pPr>
            <w:r w:rsidRPr="00156ECB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156ECB" w:rsidRDefault="00331EB5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Стаж роботи, пов’язаної з проведенням оперативно-розшукової діяльності та/або досудового слідства або роботи у підрозділах внутрішнього контролю від 3-х </w:t>
            </w:r>
            <w:r w:rsidR="00156ECB" w:rsidRPr="00B0707C">
              <w:rPr>
                <w:lang w:val="uk-UA"/>
              </w:rPr>
              <w:t>років.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1.3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державною мовою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Вільно</w:t>
            </w:r>
          </w:p>
        </w:tc>
      </w:tr>
      <w:tr w:rsidR="00331EB5" w:rsidRPr="00372701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іноземними мовами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англійською мовою рівня pre-intermediate та вище є додатковою перевагою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Безстрокове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10357" w:type="dxa"/>
            <w:gridSpan w:val="7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i/>
                <w:lang w:val="uk-UA"/>
              </w:rPr>
            </w:pPr>
            <w:r w:rsidRPr="00331EB5">
              <w:rPr>
                <w:caps/>
                <w:lang w:val="uk-UA"/>
              </w:rPr>
              <w:t>2.1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i/>
                <w:lang w:val="uk-UA"/>
              </w:rPr>
            </w:pPr>
            <w:r w:rsidRPr="00331EB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Право (право, правознавство, правоохоронна діяльність)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Досвід впровадження систем внутрішнього контролю та системи запобігання корупції відповідно до міжнародних стандартів є перевагою.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lang w:val="uk-UA"/>
              </w:rPr>
              <w:br w:type="page"/>
            </w:r>
            <w:r w:rsidRPr="00331EB5">
              <w:rPr>
                <w:lang w:val="uk-UA"/>
              </w:rPr>
              <w:br w:type="page"/>
              <w:t>2.3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Конституція України; 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процесуальний кодекс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кодекс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службу»;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запобігання корупції»;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оперативно-розшукову діяльність»;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таємницю»;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Дисциплінарний статут органів внутрішніх справ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Кодекс професійної етики працівників Національного антикорупційного бюро України;</w:t>
            </w:r>
          </w:p>
          <w:p w:rsidR="00331EB5" w:rsidRPr="00156ECB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Міжнародні стандарти з питань запобігання корупції.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2.4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</w:pPr>
            <w:r w:rsidRPr="00331EB5">
              <w:rPr>
                <w:lang w:val="uk-UA"/>
              </w:rPr>
              <w:t>Професійні знання</w:t>
            </w:r>
            <w:r w:rsidRPr="00331EB5">
              <w:t xml:space="preserve">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(відповідно до посади з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урахуванням вимог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спеціальних законів)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виявлення, оцінки та управління корупційними ризиками;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всебічно вивчати ситуації, визначати, перевіряти та деталізувати проблеми у сфері запобігання корупції;</w:t>
            </w:r>
          </w:p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забезпечення;</w:t>
            </w:r>
          </w:p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даних.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знання основ психології, зокрема, у сфері оперативно-розшукової діяльності;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 та оперативного документування правопорушень у сфері службової діяльності.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Лідерство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ініціативність;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обґрунтовувати власну позицію;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брати на себе відповідальність;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неупередженість та об’єктивність.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2.6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Прийняття ефективних рішень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орієнтація на результат;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lang w:val="uk-UA"/>
              </w:rPr>
              <w:t xml:space="preserve">запровадження нових підходів у вирішенні поставлених завдань;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331EB5">
              <w:rPr>
                <w:rFonts w:eastAsia="Calibri"/>
                <w:lang w:val="uk-UA"/>
              </w:rPr>
              <w:t>здатність аналізувати багаторівневу інформацію.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2.7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Комунікація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працювати в команді;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ефективної координації з іншими;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вміння надавати зворотний зв'язок.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31EB5">
              <w:rPr>
                <w:lang w:val="uk-UA"/>
              </w:rPr>
              <w:t>неупередженість та об’єктивність;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ефективна співпраця з колегами..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2.8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>здатність працювати в декількох проєктах одночасно;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>орієнтація на досягнення кінцевих результатів.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2.9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 w:eastAsia="uk-UA"/>
              </w:rPr>
            </w:pPr>
            <w:r w:rsidRPr="00331EB5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запобігати та розв’язувати конфлікти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надавати зворотний зв’язок;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навички постановки цілей та організації робіт..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2.10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Сприйняття змін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адаптація до змін і прийняття нових підходів у вирішення завдань;.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конструктивне сприйняття змін;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стійкість до стресу.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2.11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Технічні вміння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роботи з інформаційно аналітичними системами державних органів.</w:t>
            </w:r>
          </w:p>
        </w:tc>
      </w:tr>
      <w:tr w:rsidR="00331EB5" w:rsidRPr="00331EB5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2.12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Особистісні компетенції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t>інтелектуальна та емоційна зрілість;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аналітичні здібності;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дисципліна і системність;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самоорганізація та орієнтація на розвиток;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lastRenderedPageBreak/>
              <w:t>незалежність та ініціативність;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в стресових ситуаціях;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чесність та дисциплінованість;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прогнозувати події;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комунікабельність;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позитивна репутація;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відповідальність за доручену справу.</w:t>
            </w:r>
          </w:p>
        </w:tc>
      </w:tr>
      <w:tr w:rsidR="00331EB5" w:rsidRPr="00837DD4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756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ІНШІ ВІДОМОСТІ</w:t>
            </w:r>
          </w:p>
        </w:tc>
      </w:tr>
      <w:tr w:rsidR="00EE455C" w:rsidRPr="00EE455C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156ECB" w:rsidRDefault="00331EB5" w:rsidP="007B3EE9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3.1</w:t>
            </w:r>
          </w:p>
        </w:tc>
        <w:tc>
          <w:tcPr>
            <w:tcW w:w="3692" w:type="dxa"/>
            <w:shd w:val="clear" w:color="auto" w:fill="auto"/>
          </w:tcPr>
          <w:p w:rsidR="00331EB5" w:rsidRPr="00156ECB" w:rsidRDefault="00331EB5" w:rsidP="007B3EE9">
            <w:pPr>
              <w:rPr>
                <w:lang w:val="uk-UA"/>
              </w:rPr>
            </w:pPr>
            <w:r w:rsidRPr="00156EC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156ECB" w:rsidRPr="00B0707C" w:rsidRDefault="00156ECB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- тестування на знання законодавства 1-го та 2-го рівнів </w:t>
            </w:r>
            <w:r w:rsidRPr="00B0707C">
              <w:rPr>
                <w:rFonts w:eastAsia="Calibri"/>
              </w:rPr>
              <w:t>(</w:t>
            </w:r>
            <w:hyperlink r:id="rId8" w:history="1">
              <w:r w:rsidRPr="00B0707C">
                <w:rPr>
                  <w:rFonts w:eastAsia="Calibri"/>
                  <w:u w:val="single"/>
                </w:rPr>
                <w:t>https://nabu.gov.ua/perelik-pytan-do-kvalifikaciynogo-ispytu</w:t>
              </w:r>
            </w:hyperlink>
            <w:r w:rsidRPr="00B0707C">
              <w:rPr>
                <w:rFonts w:eastAsia="Calibri"/>
              </w:rPr>
              <w:t>);</w:t>
            </w:r>
          </w:p>
          <w:p w:rsidR="00156ECB" w:rsidRPr="00B0707C" w:rsidRDefault="00156ECB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>-тестування загальних здібностей;</w:t>
            </w:r>
          </w:p>
          <w:p w:rsidR="00331EB5" w:rsidRPr="00B0707C" w:rsidRDefault="00156ECB" w:rsidP="007B3EE9">
            <w:pPr>
              <w:jc w:val="both"/>
              <w:rPr>
                <w:color w:val="FFFFFF" w:themeColor="background1"/>
                <w:lang w:val="uk-UA"/>
              </w:rPr>
            </w:pPr>
            <w:r w:rsidRPr="00B0707C">
              <w:rPr>
                <w:lang w:val="uk-UA"/>
              </w:rPr>
              <w:t>- психологічне тестування.</w:t>
            </w:r>
          </w:p>
        </w:tc>
      </w:tr>
      <w:tr w:rsidR="00331EB5" w:rsidRPr="003F722F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Перелік документів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паспорта громадянина України;</w:t>
            </w:r>
          </w:p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реєстраційної картки платника податків;</w:t>
            </w:r>
          </w:p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заповнена власноруч або за допомогою компʼютера анкета кандидата на посаду до Національного бюро та заповнена власноруч автобіографія;</w:t>
            </w:r>
          </w:p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трудової книжки або витяг з послужного списку;</w:t>
            </w:r>
          </w:p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фотокартка розміром 4 х 6 см;</w:t>
            </w:r>
          </w:p>
          <w:p w:rsidR="00331EB5" w:rsidRPr="00331EB5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156ECB" w:rsidRDefault="00331EB5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35D98" w:rsidRPr="00835D98" w:rsidRDefault="00835D98" w:rsidP="007B3EE9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835D98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посаду. </w:t>
            </w:r>
            <w:r w:rsidRPr="00835D98">
              <w:rPr>
                <w:i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Pr="00835D98">
              <w:rPr>
                <w:lang w:val="uk-UA"/>
              </w:rPr>
              <w:t xml:space="preserve"> </w:t>
            </w:r>
            <w:r w:rsidRPr="00835D98">
              <w:rPr>
                <w:i/>
                <w:lang w:val="uk-UA"/>
              </w:rPr>
              <w:t>як кандидат)» зазначає «</w:t>
            </w:r>
            <w:r w:rsidR="0093106A">
              <w:rPr>
                <w:i/>
                <w:lang w:val="uk-UA"/>
              </w:rPr>
              <w:t>Старший детектив Національного бюро відділу запобігання корупції</w:t>
            </w:r>
            <w:r w:rsidRPr="00835D98">
              <w:rPr>
                <w:i/>
                <w:lang w:val="uk-UA"/>
              </w:rPr>
              <w:t xml:space="preserve"> Управління внутрішнього контролю»;*</w:t>
            </w:r>
            <w:r w:rsidRPr="00835D98">
              <w:rPr>
                <w:lang w:val="uk-UA"/>
              </w:rPr>
              <w:t xml:space="preserve">      </w:t>
            </w:r>
          </w:p>
          <w:p w:rsidR="00331EB5" w:rsidRPr="00156ECB" w:rsidRDefault="00331EB5" w:rsidP="007B3EE9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457" w:hanging="457"/>
              <w:jc w:val="both"/>
              <w:rPr>
                <w:lang w:val="uk-UA"/>
              </w:rPr>
            </w:pPr>
            <w:r w:rsidRPr="00156ECB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331EB5" w:rsidRPr="00331EB5" w:rsidRDefault="00331EB5" w:rsidP="007B3EE9">
            <w:pPr>
              <w:tabs>
                <w:tab w:val="left" w:pos="273"/>
              </w:tabs>
              <w:ind w:left="321" w:hanging="321"/>
              <w:jc w:val="both"/>
              <w:rPr>
                <w:sz w:val="10"/>
                <w:szCs w:val="10"/>
                <w:lang w:val="uk-UA"/>
              </w:rPr>
            </w:pPr>
          </w:p>
          <w:p w:rsidR="00835D98" w:rsidRDefault="00835D98" w:rsidP="007B3EE9">
            <w:pPr>
              <w:spacing w:after="120"/>
              <w:ind w:left="-59"/>
              <w:jc w:val="both"/>
              <w:rPr>
                <w:i/>
                <w:lang w:val="uk-UA"/>
              </w:rPr>
            </w:pPr>
            <w:r w:rsidRPr="00835D98">
              <w:rPr>
                <w:b/>
                <w:lang w:val="uk-UA"/>
              </w:rPr>
              <w:lastRenderedPageBreak/>
              <w:t xml:space="preserve">* </w:t>
            </w:r>
            <w:r w:rsidRPr="00835D98">
              <w:rPr>
                <w:i/>
                <w:lang w:val="uk-UA"/>
              </w:rPr>
              <w:t xml:space="preserve">Особи, які беруть участь у конкурсі на вакантні посади </w:t>
            </w:r>
            <w:r w:rsidRPr="00835D98"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особи, </w:t>
            </w:r>
            <w:r w:rsidRPr="00835D98">
              <w:rPr>
                <w:i/>
                <w:lang w:val="uk-UA"/>
              </w:rPr>
              <w:t>уповноваженої на виконання функцій держави або місцевого самоврядування, за минулий рік.</w:t>
            </w:r>
          </w:p>
          <w:p w:rsidR="00835D98" w:rsidRPr="00835D98" w:rsidRDefault="00835D98" w:rsidP="007B3EE9">
            <w:pPr>
              <w:spacing w:after="120"/>
              <w:ind w:left="-59" w:firstLine="375"/>
              <w:jc w:val="both"/>
              <w:rPr>
                <w:lang w:val="uk-UA"/>
              </w:rPr>
            </w:pPr>
            <w:r w:rsidRPr="00835D98"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</w:t>
            </w:r>
            <w:r w:rsidRPr="00835D98">
              <w:rPr>
                <w:lang w:val="uk-UA"/>
              </w:rPr>
              <w:t xml:space="preserve"> </w:t>
            </w:r>
            <w:r w:rsidRPr="00835D98">
              <w:rPr>
                <w:i/>
                <w:lang w:val="uk-UA"/>
              </w:rPr>
              <w:t>перевірки.</w:t>
            </w:r>
          </w:p>
          <w:p w:rsidR="00331EB5" w:rsidRPr="00331EB5" w:rsidRDefault="00331EB5" w:rsidP="007B3EE9">
            <w:pPr>
              <w:spacing w:after="120"/>
              <w:ind w:left="-59" w:firstLine="283"/>
              <w:jc w:val="both"/>
              <w:rPr>
                <w:b/>
                <w:lang w:val="uk-UA"/>
              </w:rPr>
            </w:pPr>
            <w:r w:rsidRPr="00331EB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31EB5" w:rsidRPr="00331EB5" w:rsidRDefault="00331EB5" w:rsidP="007B3EE9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Працівника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31EB5" w:rsidRPr="00331EB5" w:rsidRDefault="00331EB5" w:rsidP="007B3EE9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Зразки заяв розміщені на офіційному </w:t>
            </w:r>
            <w:r w:rsidRPr="00331EB5">
              <w:t xml:space="preserve">веб-сайті </w:t>
            </w:r>
            <w:r w:rsidRPr="00331EB5">
              <w:rPr>
                <w:lang w:val="uk-UA"/>
              </w:rPr>
              <w:t>Національного</w:t>
            </w:r>
            <w:r w:rsidRPr="00331EB5">
              <w:t xml:space="preserve"> бюро</w:t>
            </w:r>
            <w:r w:rsidRPr="00331EB5">
              <w:rPr>
                <w:lang w:val="uk-UA"/>
              </w:rPr>
              <w:t>(</w:t>
            </w:r>
            <w:hyperlink r:id="rId9" w:history="1">
              <w:r w:rsidRPr="00331EB5">
                <w:rPr>
                  <w:rStyle w:val="a6"/>
                  <w:b/>
                </w:rPr>
                <w:t>https://nabu.gov.ua/poryadok-provedennya-vidkrytogo-konkursu</w:t>
              </w:r>
            </w:hyperlink>
            <w:r w:rsidR="00835D98">
              <w:rPr>
                <w:lang w:val="uk-UA"/>
              </w:rPr>
              <w:t xml:space="preserve"> Порядок прове</w:t>
            </w:r>
            <w:r w:rsidRPr="00331EB5">
              <w:rPr>
                <w:lang w:val="uk-UA"/>
              </w:rPr>
              <w:t>дення відкритого  конкурсу, розділ ІІІ)</w:t>
            </w:r>
          </w:p>
          <w:p w:rsidR="00331EB5" w:rsidRPr="00331EB5" w:rsidRDefault="00331EB5" w:rsidP="007B3EE9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331EB5" w:rsidRPr="00331EB5" w:rsidRDefault="00331EB5" w:rsidP="007B3EE9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331EB5" w:rsidRPr="00331EB5" w:rsidRDefault="00331EB5" w:rsidP="007B3EE9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(зі змінами);</w:t>
            </w:r>
          </w:p>
          <w:p w:rsidR="00331EB5" w:rsidRPr="00331EB5" w:rsidRDefault="00331EB5" w:rsidP="007B3EE9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які досягли граничного віку перебування на службі;</w:t>
            </w:r>
          </w:p>
          <w:p w:rsidR="00331EB5" w:rsidRPr="00331EB5" w:rsidRDefault="00331EB5" w:rsidP="007B3EE9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які за станом здоровʼя не придатні до проходження військової служби;</w:t>
            </w:r>
          </w:p>
          <w:p w:rsidR="00331EB5" w:rsidRPr="005D2410" w:rsidRDefault="00331EB5" w:rsidP="007B3EE9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які звільнені у відставку.</w:t>
            </w:r>
          </w:p>
        </w:tc>
      </w:tr>
      <w:tr w:rsidR="00331EB5" w:rsidRPr="003F722F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92" w:type="dxa"/>
            <w:shd w:val="clear" w:color="auto" w:fill="auto"/>
          </w:tcPr>
          <w:p w:rsidR="005D2410" w:rsidRPr="005D2410" w:rsidRDefault="00331EB5" w:rsidP="004C520E">
            <w:pPr>
              <w:rPr>
                <w:sz w:val="6"/>
                <w:szCs w:val="6"/>
                <w:lang w:val="uk-UA"/>
              </w:rPr>
            </w:pPr>
            <w:r w:rsidRPr="00331EB5">
              <w:rPr>
                <w:lang w:val="uk-UA"/>
              </w:rPr>
              <w:t>Термін подання документів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kern w:val="36"/>
                <w:lang w:val="uk-UA"/>
              </w:rPr>
            </w:pPr>
            <w:r w:rsidRPr="00331EB5">
              <w:rPr>
                <w:kern w:val="36"/>
                <w:lang w:val="uk-UA"/>
              </w:rPr>
              <w:t>Протягом 1</w:t>
            </w:r>
            <w:r w:rsidR="000726D2">
              <w:rPr>
                <w:kern w:val="36"/>
                <w:lang w:val="uk-UA"/>
              </w:rPr>
              <w:t>0</w:t>
            </w:r>
            <w:r w:rsidRPr="00331EB5">
              <w:rPr>
                <w:kern w:val="36"/>
                <w:lang w:val="uk-UA"/>
              </w:rPr>
              <w:t xml:space="preserve"> календарних днів.</w:t>
            </w:r>
          </w:p>
        </w:tc>
      </w:tr>
      <w:tr w:rsidR="00331EB5" w:rsidRPr="003F722F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4C520E">
            <w:pPr>
              <w:rPr>
                <w:lang w:val="uk-UA"/>
              </w:rPr>
            </w:pPr>
            <w:r w:rsidRPr="00331EB5">
              <w:rPr>
                <w:lang w:val="uk-UA"/>
              </w:rPr>
              <w:t xml:space="preserve">Поштова адреса, за якою </w:t>
            </w:r>
            <w:r w:rsidR="004C520E">
              <w:rPr>
                <w:lang w:val="uk-UA"/>
              </w:rPr>
              <w:t>п</w:t>
            </w:r>
            <w:r w:rsidRPr="00331EB5">
              <w:rPr>
                <w:lang w:val="uk-UA"/>
              </w:rPr>
              <w:t>риймаються (на яку надсилаються) документи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331EB5" w:rsidRDefault="00D77D92" w:rsidP="007B3EE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1EB5" w:rsidRPr="00331EB5">
              <w:rPr>
                <w:lang w:val="uk-UA"/>
              </w:rPr>
              <w:t>3035, м. Київ, вул. Василя Сурикова, 3</w:t>
            </w:r>
          </w:p>
        </w:tc>
      </w:tr>
      <w:tr w:rsidR="00331EB5" w:rsidRPr="003F722F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442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Контактні дані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bCs/>
                <w:lang w:val="uk-UA"/>
              </w:rPr>
              <w:t>E-mail:</w:t>
            </w:r>
            <w:r w:rsidRPr="00331EB5">
              <w:rPr>
                <w:lang w:val="uk-UA"/>
              </w:rPr>
              <w:t> </w:t>
            </w:r>
            <w:hyperlink r:id="rId10" w:history="1">
              <w:r w:rsidRPr="00331EB5">
                <w:rPr>
                  <w:rStyle w:val="a6"/>
                  <w:lang w:val="uk-UA"/>
                </w:rPr>
                <w:t>commission1@nabu.gov.ua</w:t>
              </w:r>
            </w:hyperlink>
            <w:r w:rsidRPr="00331EB5">
              <w:rPr>
                <w:lang w:val="uk-UA"/>
              </w:rPr>
              <w:t xml:space="preserve"> </w:t>
            </w:r>
          </w:p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 xml:space="preserve">Тел.: </w:t>
            </w:r>
            <w:r w:rsidRPr="00331EB5">
              <w:rPr>
                <w:rStyle w:val="a6"/>
                <w:lang w:val="uk-UA"/>
              </w:rPr>
              <w:t>(044) 246-3</w:t>
            </w:r>
            <w:r w:rsidR="004D2768">
              <w:rPr>
                <w:rStyle w:val="a6"/>
                <w:lang w:val="uk-UA"/>
              </w:rPr>
              <w:t>1-22</w:t>
            </w:r>
          </w:p>
        </w:tc>
      </w:tr>
      <w:tr w:rsidR="00331EB5" w:rsidRPr="00372701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3.6</w:t>
            </w:r>
            <w:r w:rsidR="00B0707C" w:rsidRPr="00D930BB">
              <w:rPr>
                <w:lang w:val="uk-UA"/>
              </w:rPr>
              <w:t>*</w:t>
            </w:r>
            <w:r w:rsidR="00A67931">
              <w:rPr>
                <w:lang w:val="uk-UA"/>
              </w:rPr>
              <w:t>*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Умови оплати праці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</w:t>
            </w:r>
            <w:r w:rsidR="00EA5792">
              <w:rPr>
                <w:lang w:val="uk-UA"/>
              </w:rPr>
              <w:t xml:space="preserve">                                            </w:t>
            </w:r>
            <w:r w:rsidRPr="00331EB5">
              <w:rPr>
                <w:lang w:val="uk-UA"/>
              </w:rPr>
              <w:t xml:space="preserve">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31EB5" w:rsidRPr="003F722F" w:rsidTr="007B3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6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Місце проведення конкурсу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B0707C" w:rsidRDefault="00B0707C" w:rsidP="00B0707C">
      <w:pPr>
        <w:ind w:left="-567" w:right="-144"/>
        <w:jc w:val="both"/>
        <w:rPr>
          <w:lang w:val="uk-UA"/>
        </w:rPr>
      </w:pPr>
    </w:p>
    <w:p w:rsidR="00F320D2" w:rsidRPr="00331EB5" w:rsidRDefault="00A67931" w:rsidP="007B3EE9">
      <w:pPr>
        <w:ind w:left="-567" w:right="-144" w:firstLine="567"/>
        <w:jc w:val="both"/>
        <w:rPr>
          <w:lang w:val="uk-UA"/>
        </w:rPr>
      </w:pPr>
      <w:r>
        <w:rPr>
          <w:lang w:val="uk-UA"/>
        </w:rPr>
        <w:t>*</w:t>
      </w:r>
      <w:r w:rsidR="00B0707C" w:rsidRPr="00B0707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F320D2" w:rsidRPr="00331EB5" w:rsidSect="00DB128E">
      <w:headerReference w:type="default" r:id="rId11"/>
      <w:footnotePr>
        <w:numFmt w:val="chicago"/>
      </w:footnotePr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92" w:rsidRDefault="00C73C92">
      <w:r>
        <w:separator/>
      </w:r>
    </w:p>
  </w:endnote>
  <w:endnote w:type="continuationSeparator" w:id="0">
    <w:p w:rsidR="00C73C92" w:rsidRDefault="00C7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92" w:rsidRDefault="00C73C92">
      <w:r>
        <w:separator/>
      </w:r>
    </w:p>
  </w:footnote>
  <w:footnote w:type="continuationSeparator" w:id="0">
    <w:p w:rsidR="00C73C92" w:rsidRDefault="00C7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270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B51E3B"/>
    <w:multiLevelType w:val="multilevel"/>
    <w:tmpl w:val="F91685EE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16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0726D2"/>
    <w:rsid w:val="00156ECB"/>
    <w:rsid w:val="0017566B"/>
    <w:rsid w:val="002020CD"/>
    <w:rsid w:val="00240727"/>
    <w:rsid w:val="00331EB5"/>
    <w:rsid w:val="00372701"/>
    <w:rsid w:val="003A5DD5"/>
    <w:rsid w:val="003E0AAC"/>
    <w:rsid w:val="0046633F"/>
    <w:rsid w:val="004C520E"/>
    <w:rsid w:val="004D2768"/>
    <w:rsid w:val="00592E35"/>
    <w:rsid w:val="005D2410"/>
    <w:rsid w:val="006042CF"/>
    <w:rsid w:val="0062180C"/>
    <w:rsid w:val="00650572"/>
    <w:rsid w:val="0068435E"/>
    <w:rsid w:val="00785E49"/>
    <w:rsid w:val="007B3EE9"/>
    <w:rsid w:val="007F39B4"/>
    <w:rsid w:val="00835D98"/>
    <w:rsid w:val="008A1EBA"/>
    <w:rsid w:val="008E5C4A"/>
    <w:rsid w:val="0093106A"/>
    <w:rsid w:val="00937787"/>
    <w:rsid w:val="009572DC"/>
    <w:rsid w:val="00A67931"/>
    <w:rsid w:val="00B0707C"/>
    <w:rsid w:val="00B64CE4"/>
    <w:rsid w:val="00B956F7"/>
    <w:rsid w:val="00BE057A"/>
    <w:rsid w:val="00C73C92"/>
    <w:rsid w:val="00CC19F3"/>
    <w:rsid w:val="00CE3C9E"/>
    <w:rsid w:val="00D332A1"/>
    <w:rsid w:val="00D77D92"/>
    <w:rsid w:val="00D9499E"/>
    <w:rsid w:val="00DB128E"/>
    <w:rsid w:val="00DC0220"/>
    <w:rsid w:val="00E949E1"/>
    <w:rsid w:val="00EA5792"/>
    <w:rsid w:val="00EE455C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F091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WW8Num30">
    <w:name w:val="WW8Num30"/>
    <w:basedOn w:val="a2"/>
    <w:rsid w:val="00835D9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7B3EE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B3E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6AB3-9331-4B32-BFE9-A1BD4F78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7182</Words>
  <Characters>4094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Годуєва Ксенія Ігорівна</dc:creator>
  <cp:keywords/>
  <dc:description/>
  <cp:lastModifiedBy>Захарченко Ірина Олександрівна</cp:lastModifiedBy>
  <cp:revision>7</cp:revision>
  <cp:lastPrinted>2022-01-20T13:14:00Z</cp:lastPrinted>
  <dcterms:created xsi:type="dcterms:W3CDTF">2023-01-16T15:18:00Z</dcterms:created>
  <dcterms:modified xsi:type="dcterms:W3CDTF">2023-01-17T16:34:00Z</dcterms:modified>
</cp:coreProperties>
</file>