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68" w:rsidRPr="003A5E68" w:rsidRDefault="003A5E68" w:rsidP="003A5E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5E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ПРОФІЛЬ</w:t>
      </w:r>
      <w:r w:rsidRPr="003A5E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3A5E68" w:rsidRPr="003A5E68" w:rsidRDefault="003A5E68" w:rsidP="003A5E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5E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заступника Керівника Оперативно-технічного управління  </w:t>
      </w:r>
    </w:p>
    <w:p w:rsidR="003A5E68" w:rsidRPr="003A5E68" w:rsidRDefault="003A5E68" w:rsidP="003A5E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A5E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p w:rsidR="003A5E68" w:rsidRPr="003A5E68" w:rsidRDefault="003A5E68" w:rsidP="003A5E6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123"/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3A5E68" w:rsidRPr="003A5E68" w:rsidTr="00871771">
        <w:tc>
          <w:tcPr>
            <w:tcW w:w="460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ЗАТВЕРДЖУЮ</w:t>
            </w:r>
          </w:p>
        </w:tc>
      </w:tr>
      <w:tr w:rsidR="003A5E68" w:rsidRPr="003A5E68" w:rsidTr="00871771">
        <w:tc>
          <w:tcPr>
            <w:tcW w:w="460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Директор                                       </w:t>
            </w:r>
            <w:proofErr w:type="spellStart"/>
            <w:r w:rsidRPr="003A5E6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А.Ситник</w:t>
            </w:r>
            <w:proofErr w:type="spellEnd"/>
          </w:p>
        </w:tc>
      </w:tr>
      <w:tr w:rsidR="003A5E68" w:rsidRPr="003A5E68" w:rsidTr="00871771">
        <w:tc>
          <w:tcPr>
            <w:tcW w:w="460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3A5E68">
              <w:rPr>
                <w:rFonts w:ascii="Times New Roman" w:eastAsiaTheme="minorEastAsia" w:hAnsi="Times New Roman" w:cs="Times New Roman"/>
                <w:sz w:val="18"/>
                <w:szCs w:val="18"/>
              </w:rPr>
              <w:t>(найменування посади, ініціали (ім’я),</w:t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3A5E68">
              <w:rPr>
                <w:rFonts w:ascii="Times New Roman" w:eastAsiaTheme="minorEastAsia" w:hAnsi="Times New Roman" w:cs="Times New Roman"/>
                <w:sz w:val="18"/>
                <w:szCs w:val="18"/>
              </w:rPr>
              <w:t>прізвище та підпис керівника державної служби у державному органі,</w:t>
            </w:r>
          </w:p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органі влади Автономної Республіки Крим або їх </w:t>
            </w:r>
            <w:proofErr w:type="spellStart"/>
            <w:r w:rsidRPr="003A5E68">
              <w:rPr>
                <w:rFonts w:ascii="Times New Roman" w:eastAsiaTheme="minorEastAsia" w:hAnsi="Times New Roman" w:cs="Times New Roman"/>
                <w:sz w:val="18"/>
                <w:szCs w:val="18"/>
              </w:rPr>
              <w:t>апараті</w:t>
            </w:r>
            <w:proofErr w:type="spellEnd"/>
            <w:r w:rsidRPr="003A5E68">
              <w:rPr>
                <w:rFonts w:ascii="Times New Roman" w:eastAsiaTheme="minorEastAsia" w:hAnsi="Times New Roman" w:cs="Times New Roman"/>
                <w:sz w:val="18"/>
                <w:szCs w:val="18"/>
              </w:rPr>
              <w:t>)</w:t>
            </w:r>
          </w:p>
        </w:tc>
      </w:tr>
      <w:tr w:rsidR="003A5E68" w:rsidRPr="003A5E68" w:rsidTr="00871771">
        <w:tc>
          <w:tcPr>
            <w:tcW w:w="460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A5E68" w:rsidRPr="003A5E68" w:rsidTr="00871771">
        <w:tc>
          <w:tcPr>
            <w:tcW w:w="460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3A5E68" w:rsidRPr="003A5E68" w:rsidRDefault="00E228C5" w:rsidP="00E228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12 квітня </w:t>
            </w:r>
            <w:r w:rsidR="003A5E68"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</w:t>
            </w:r>
            <w:r w:rsidR="003A5E68"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3A5E68" w:rsidRPr="003A5E68" w:rsidRDefault="003A5E68" w:rsidP="003A5E68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603"/>
        <w:gridCol w:w="223"/>
        <w:gridCol w:w="4860"/>
      </w:tblGrid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687" w:type="dxa"/>
            <w:gridSpan w:val="3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861" w:type="dxa"/>
          </w:tcPr>
          <w:p w:rsidR="003A5E68" w:rsidRPr="003A5E68" w:rsidRDefault="003A5E68" w:rsidP="003A5E68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861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Оперативно-технічне управління 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861" w:type="dxa"/>
          </w:tcPr>
          <w:p w:rsidR="003A5E68" w:rsidRPr="003A5E68" w:rsidRDefault="003A5E68" w:rsidP="003A5E68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Заступник Керівника Оперативно-технічного управління 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aps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Категорія посади</w:t>
            </w:r>
          </w:p>
        </w:tc>
        <w:tc>
          <w:tcPr>
            <w:tcW w:w="4861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Особи начальницького складу Національного бюро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aps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</w:rPr>
              <w:t>5</w:t>
            </w:r>
          </w:p>
        </w:tc>
        <w:tc>
          <w:tcPr>
            <w:tcW w:w="3826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4861" w:type="dxa"/>
          </w:tcPr>
          <w:p w:rsidR="003A5E68" w:rsidRPr="003A5E68" w:rsidRDefault="003A5E68" w:rsidP="003A5E68">
            <w:pPr>
              <w:spacing w:after="0" w:line="240" w:lineRule="auto"/>
              <w:jc w:val="both"/>
              <w:rPr>
                <w:rFonts w:eastAsiaTheme="minorEastAsia" w:cs="Times New Roman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Організація та контроль за проведенням негласних слідчих (розшукових) дій (НСРД) та оперативно-розшукових заходів із застосуванням технічних засобів (ОТЗ), забезпеченням можливості використання їх результатів в кримінальному провадженні та оперативно-розшуковій діяльності Національного бюро 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861" w:type="dxa"/>
          </w:tcPr>
          <w:p w:rsidR="003A5E68" w:rsidRPr="003A5E68" w:rsidRDefault="003A5E68" w:rsidP="003A5E68">
            <w:pPr>
              <w:tabs>
                <w:tab w:val="left" w:pos="556"/>
              </w:tabs>
              <w:spacing w:after="0" w:line="240" w:lineRule="auto"/>
              <w:ind w:firstLine="22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A5E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  <w:t>- організація планування роботи підпорядкованих підрозділів  та контроль їх виконання;</w:t>
            </w:r>
          </w:p>
          <w:p w:rsidR="003A5E68" w:rsidRPr="003A5E68" w:rsidRDefault="003A5E68" w:rsidP="003A5E68">
            <w:pPr>
              <w:spacing w:after="0" w:line="240" w:lineRule="auto"/>
              <w:ind w:firstLine="22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  <w:t>- особисте вивчення наявності передбачених законодавством підстав та оперативно-технічних можливостей для виконання НСРД або ОТЗ, які відносяться до компетенції підпорядкованих підрозділів;</w:t>
            </w:r>
          </w:p>
          <w:p w:rsidR="003A5E68" w:rsidRPr="003A5E68" w:rsidRDefault="003A5E68" w:rsidP="003A5E68">
            <w:pPr>
              <w:spacing w:after="0" w:line="240" w:lineRule="auto"/>
              <w:ind w:firstLine="22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  <w:t>- розподіл завдань відповідно до компетенції;</w:t>
            </w:r>
          </w:p>
          <w:p w:rsidR="003A5E68" w:rsidRPr="003A5E68" w:rsidRDefault="003A5E68" w:rsidP="003A5E68">
            <w:pPr>
              <w:spacing w:after="0" w:line="240" w:lineRule="auto"/>
              <w:ind w:firstLine="22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  <w:t>- контроль якості й ефективності проведення НСРД та/або ОТЗ</w:t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дотримання вимог законів України при цьому;</w:t>
            </w:r>
          </w:p>
          <w:p w:rsidR="003A5E68" w:rsidRPr="003A5E68" w:rsidRDefault="003A5E68" w:rsidP="003A5E68">
            <w:pPr>
              <w:spacing w:after="0" w:line="240" w:lineRule="auto"/>
              <w:ind w:firstLine="22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  <w:t>- методична та практична допомога в організації, підготовці, проведенні НСРД та/або ОТЗ</w:t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а також</w:t>
            </w:r>
            <w:r w:rsidRPr="003A5E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використанні отриманих результатів; </w:t>
            </w:r>
          </w:p>
          <w:p w:rsidR="003A5E68" w:rsidRPr="003A5E68" w:rsidRDefault="003A5E68" w:rsidP="003A5E68">
            <w:pPr>
              <w:spacing w:after="0" w:line="240" w:lineRule="auto"/>
              <w:ind w:firstLine="22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3A5E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  <w:t>координація в межах компетенції взаємодії підпорядкованих підрозділів з іншими підрозділами Національного бюро в ході підготовки та проведення НСРД та/або ОТЗ, вирішення інших службових завдань;</w:t>
            </w:r>
          </w:p>
          <w:p w:rsidR="003A5E68" w:rsidRPr="003A5E68" w:rsidRDefault="003A5E68" w:rsidP="003A5E68">
            <w:pPr>
              <w:spacing w:after="0" w:line="240" w:lineRule="auto"/>
              <w:ind w:firstLine="22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- координація роботи щодо обґрунтування та узагальнення потреб Оперативно-технічного управління в ресурсному та матеріально-технічному забезпеченні, та планування робіт щодо їх задоволення;</w:t>
            </w:r>
          </w:p>
          <w:p w:rsidR="003A5E68" w:rsidRPr="003A5E68" w:rsidRDefault="003A5E68" w:rsidP="003A5E68">
            <w:pPr>
              <w:spacing w:after="0" w:line="240" w:lineRule="auto"/>
              <w:ind w:firstLine="22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olor w:val="000000"/>
                <w:lang w:eastAsia="uk-UA"/>
              </w:rPr>
              <w:t xml:space="preserve">- </w:t>
            </w:r>
            <w:r w:rsidRPr="003A5E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забезпечення професійної підготовки працівників підпорядкованих підрозділів, контроль за дотриманням службової дисципліни 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3826" w:type="dxa"/>
            <w:gridSpan w:val="2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Строковість заняття посади</w:t>
            </w:r>
          </w:p>
        </w:tc>
        <w:tc>
          <w:tcPr>
            <w:tcW w:w="4861" w:type="dxa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Безстроково</w:t>
            </w:r>
          </w:p>
        </w:tc>
      </w:tr>
      <w:tr w:rsidR="003A5E68" w:rsidRPr="003A5E68" w:rsidTr="003A5E68">
        <w:trPr>
          <w:trHeight w:val="401"/>
        </w:trPr>
        <w:tc>
          <w:tcPr>
            <w:tcW w:w="658" w:type="dxa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8687" w:type="dxa"/>
            <w:gridSpan w:val="3"/>
          </w:tcPr>
          <w:p w:rsidR="003A5E68" w:rsidRPr="003A5E68" w:rsidRDefault="003A5E68" w:rsidP="003A5E6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ВИМОГИ ДО РІВНЯ ПРОФЕСІЙНОЇ КОМПЕТЕНТНОСТІ ОСОБИ</w:t>
            </w:r>
          </w:p>
        </w:tc>
      </w:tr>
      <w:tr w:rsidR="003A5E68" w:rsidRPr="003A5E68" w:rsidTr="00871771">
        <w:tc>
          <w:tcPr>
            <w:tcW w:w="9345" w:type="dxa"/>
            <w:gridSpan w:val="4"/>
          </w:tcPr>
          <w:p w:rsidR="003A5E68" w:rsidRPr="003A5E68" w:rsidRDefault="003A5E68" w:rsidP="003A5E6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uk-UA"/>
              </w:rPr>
              <w:t>Загальні вимоги</w:t>
            </w:r>
          </w:p>
        </w:tc>
      </w:tr>
      <w:tr w:rsidR="003A5E68" w:rsidRPr="003A5E68" w:rsidTr="00871771">
        <w:tc>
          <w:tcPr>
            <w:tcW w:w="658" w:type="dxa"/>
            <w:vMerge w:val="restart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Вища </w:t>
            </w:r>
          </w:p>
        </w:tc>
      </w:tr>
      <w:tr w:rsidR="003A5E68" w:rsidRPr="003A5E68" w:rsidTr="00871771">
        <w:tc>
          <w:tcPr>
            <w:tcW w:w="658" w:type="dxa"/>
            <w:vMerge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Ступінь вищої освіти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Спеціаліст (магістр)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Стаж роботи (служби), пов’язаної з проведенням оперативно-розшукової діяльності та/або досудового слідства не менше десяти років, з них на керівних посадах – не менше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п’яти</w:t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років.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Del="00E7634A" w:rsidRDefault="003A5E68" w:rsidP="003A5E68">
            <w:pPr>
              <w:spacing w:after="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603" w:type="dxa"/>
          </w:tcPr>
          <w:p w:rsidR="003A5E68" w:rsidRPr="003A5E68" w:rsidDel="00E7634A" w:rsidRDefault="003A5E68" w:rsidP="003A5E6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Вільно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Володіння іноземними мовами (за необхідності)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Бажано </w:t>
            </w:r>
          </w:p>
        </w:tc>
      </w:tr>
      <w:tr w:rsidR="003A5E68" w:rsidRPr="003A5E68" w:rsidTr="00871771">
        <w:tc>
          <w:tcPr>
            <w:tcW w:w="9345" w:type="dxa"/>
            <w:gridSpan w:val="4"/>
          </w:tcPr>
          <w:p w:rsidR="003A5E68" w:rsidRPr="003A5E68" w:rsidRDefault="003A5E68" w:rsidP="003A5E68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uk-UA"/>
              </w:rPr>
              <w:t>2. Спеціальні вимоги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Галузь знань (найменування спеціальності)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Право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знавство</w:t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національна безпека, воєнні науки, електроніка та телекомунікації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Досвід роботи (служби) на керівних посадах у правоохоронних органах не менше 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uk-UA"/>
              </w:rPr>
              <w:t>п'яти</w:t>
            </w:r>
            <w:proofErr w:type="spellEnd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років.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page"/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 w:type="page"/>
            </w: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Знання законодавства відповідно до посадових обов’язків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tabs>
                <w:tab w:val="left" w:pos="356"/>
              </w:tabs>
              <w:spacing w:after="0" w:line="240" w:lineRule="auto"/>
              <w:ind w:firstLine="3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Конституція України; </w:t>
            </w:r>
          </w:p>
          <w:p w:rsidR="003A5E68" w:rsidRPr="003A5E68" w:rsidRDefault="003A5E68" w:rsidP="003A5E68">
            <w:pPr>
              <w:tabs>
                <w:tab w:val="left" w:pos="356"/>
              </w:tabs>
              <w:spacing w:after="0" w:line="240" w:lineRule="auto"/>
              <w:ind w:firstLine="3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Закон України «Про Національне антикорупційне бюро України»; </w:t>
            </w:r>
          </w:p>
          <w:p w:rsidR="003A5E68" w:rsidRPr="003A5E68" w:rsidRDefault="003A5E68" w:rsidP="003A5E68">
            <w:pPr>
              <w:tabs>
                <w:tab w:val="left" w:pos="356"/>
              </w:tabs>
              <w:spacing w:after="0" w:line="240" w:lineRule="auto"/>
              <w:ind w:firstLine="3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Кримінальний процесуальний кодекс України;</w:t>
            </w:r>
          </w:p>
          <w:p w:rsidR="003A5E68" w:rsidRPr="003A5E68" w:rsidRDefault="003A5E68" w:rsidP="003A5E68">
            <w:pPr>
              <w:tabs>
                <w:tab w:val="left" w:pos="356"/>
              </w:tabs>
              <w:spacing w:after="0" w:line="240" w:lineRule="auto"/>
              <w:ind w:firstLine="3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Кримінальний кодекс України;</w:t>
            </w:r>
          </w:p>
          <w:p w:rsidR="003A5E68" w:rsidRPr="003A5E68" w:rsidRDefault="003A5E68" w:rsidP="003A5E68">
            <w:pPr>
              <w:tabs>
                <w:tab w:val="left" w:pos="356"/>
              </w:tabs>
              <w:spacing w:after="0" w:line="240" w:lineRule="auto"/>
              <w:ind w:firstLine="3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Закон України «Про державну таємницю»; </w:t>
            </w:r>
          </w:p>
          <w:p w:rsidR="003A5E68" w:rsidRPr="003A5E68" w:rsidRDefault="003A5E68" w:rsidP="003A5E68">
            <w:pPr>
              <w:tabs>
                <w:tab w:val="left" w:pos="356"/>
              </w:tabs>
              <w:spacing w:after="0" w:line="240" w:lineRule="auto"/>
              <w:ind w:firstLine="3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Закон України «Про оперативно-розшукову діяльність»;</w:t>
            </w:r>
          </w:p>
          <w:p w:rsidR="003A5E68" w:rsidRPr="003A5E68" w:rsidRDefault="003A5E68" w:rsidP="003A5E68">
            <w:pPr>
              <w:tabs>
                <w:tab w:val="left" w:pos="356"/>
              </w:tabs>
              <w:spacing w:after="0" w:line="240" w:lineRule="auto"/>
              <w:ind w:firstLine="3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Закон України «Про Національну поліцію»;</w:t>
            </w:r>
          </w:p>
          <w:p w:rsidR="003A5E68" w:rsidRPr="003A5E68" w:rsidRDefault="003A5E68" w:rsidP="003A5E68">
            <w:pPr>
              <w:tabs>
                <w:tab w:val="left" w:pos="356"/>
              </w:tabs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Закон України «Про запобігання корупції»;</w:t>
            </w:r>
          </w:p>
          <w:p w:rsidR="003A5E68" w:rsidRPr="003A5E68" w:rsidRDefault="003A5E68" w:rsidP="003A5E68">
            <w:pPr>
              <w:tabs>
                <w:tab w:val="left" w:pos="356"/>
              </w:tabs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Закон України «Про державну службу»;</w:t>
            </w:r>
          </w:p>
          <w:p w:rsidR="003A5E68" w:rsidRPr="003A5E68" w:rsidRDefault="003A5E68" w:rsidP="003A5E68">
            <w:pPr>
              <w:tabs>
                <w:tab w:val="left" w:pos="356"/>
              </w:tabs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відомчі нормативн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о-правові</w:t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акти, які регулюють порядок здійснення оперативно-розшукових заходів та (або) гласних чи негласних слідчих (розшукових) дій;</w:t>
            </w:r>
          </w:p>
          <w:p w:rsidR="003A5E68" w:rsidRPr="003A5E68" w:rsidRDefault="003A5E68" w:rsidP="003A5E68">
            <w:pPr>
              <w:tabs>
                <w:tab w:val="left" w:pos="356"/>
              </w:tabs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-Положення про проходження служби рядовим і начальницьким складом органів внутрішніх справ України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затверджене</w:t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ПКМУ від 29.07.1991 №114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3A5E68" w:rsidRPr="003A5E68" w:rsidRDefault="003A5E68" w:rsidP="003A5E68">
            <w:pPr>
              <w:tabs>
                <w:tab w:val="left" w:pos="356"/>
              </w:tabs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- Дисциплінарний статут органів внутрішніх справ України; 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загальні відомості у сфері радіоелектроніки, зв’язку телекомунікацій та інших засобів прийому та передачі аудіо- та відеоінформації.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  <w:lastRenderedPageBreak/>
              <w:t>2.4</w:t>
            </w: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Професійні вміння (</w:t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професійний досвід за напрямом роботи;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знання інструментів управління та інструментів контролю;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навички постановки цілей та організації робіт;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 вміння працювати в умовах </w:t>
            </w:r>
            <w:proofErr w:type="spellStart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багатозадачності</w:t>
            </w:r>
            <w:proofErr w:type="spellEnd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швидко орієнтуватись в реальних ситуаціях та приймати правильні рішення;</w:t>
            </w:r>
          </w:p>
          <w:p w:rsidR="003A5E68" w:rsidRPr="003A5E68" w:rsidRDefault="003A5E68" w:rsidP="003A5E68">
            <w:pPr>
              <w:widowControl w:val="0"/>
              <w:suppressAutoHyphens/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lang w:eastAsia="uk-UA"/>
              </w:rPr>
              <w:t>- навички</w:t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тлумачення нормативно-правових актів та застосовування їх на практиці;</w:t>
            </w:r>
          </w:p>
          <w:p w:rsidR="003A5E68" w:rsidRPr="003A5E68" w:rsidRDefault="003A5E68" w:rsidP="003A5E68">
            <w:pPr>
              <w:tabs>
                <w:tab w:val="left" w:pos="299"/>
              </w:tabs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відмінні комунікативні та організаторські здібності;</w:t>
            </w:r>
          </w:p>
          <w:p w:rsidR="003A5E68" w:rsidRPr="003A5E68" w:rsidRDefault="003A5E68" w:rsidP="003A5E68">
            <w:pPr>
              <w:tabs>
                <w:tab w:val="left" w:pos="299"/>
              </w:tabs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знання порядку роботи з інформацією з обмеженим доступом;</w:t>
            </w:r>
          </w:p>
          <w:p w:rsidR="003A5E68" w:rsidRPr="003A5E68" w:rsidRDefault="003A5E68" w:rsidP="003A5E68">
            <w:pPr>
              <w:tabs>
                <w:tab w:val="left" w:pos="299"/>
              </w:tabs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знання норм службової, професійної етики і загальних принципів службової поведінки державних службовців;</w:t>
            </w:r>
          </w:p>
          <w:p w:rsidR="003A5E68" w:rsidRPr="003A5E68" w:rsidRDefault="003A5E68" w:rsidP="003A5E68">
            <w:pPr>
              <w:tabs>
                <w:tab w:val="left" w:pos="299"/>
                <w:tab w:val="left" w:pos="388"/>
              </w:tabs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знання та використання засобів комунікацій, комп'ютерної техніки та програмного забезпечення;</w:t>
            </w:r>
          </w:p>
          <w:p w:rsidR="003A5E68" w:rsidRPr="003A5E68" w:rsidRDefault="003A5E68" w:rsidP="003A5E68">
            <w:pPr>
              <w:widowControl w:val="0"/>
              <w:tabs>
                <w:tab w:val="left" w:pos="299"/>
              </w:tabs>
              <w:suppressAutoHyphens/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вміння працювати зі службовими документами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Якісне виконання поставлених завдань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своєчасність прийняття управлінських рішень;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вміння розподіляти завдання серед виконавців;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систематизація інформації та аналітичне мислення;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лідерські якості та організаторські здібності;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орієнтація на результат та цілеспрямованість;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добре розвинена пам'ять;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висока швидкість мислення;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комунікабельність;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стійкість до стресу;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сміливість, чесність та відповідальність за доручену справу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Командна робота та взаємодія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уміння працювати в команді;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n101"/>
            <w:bookmarkEnd w:id="0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уміння ефективної координації з іншими групами виконавців;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n102"/>
            <w:bookmarkEnd w:id="1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уміння надавати зворотний зв'язок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Сприйняття змін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аналіз і прогнозування наслідків рішень, що приймаються;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адаптація до змін та прийняття нових підходів (управління інноваціями) у вирішенні поставлених завдань;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виконання плану змін та покращень</w:t>
            </w:r>
            <w:bookmarkStart w:id="2" w:name="n105"/>
            <w:bookmarkEnd w:id="2"/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Технічні вміння 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впевнене користування ПЕОМ на рівні досвідченого користувача операційних систем Windows 7 (8.1, 10), пакету MS Office 2016 та </w:t>
            </w:r>
            <w:proofErr w:type="spellStart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використання спеціального програмного забезпечення.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03" w:type="dxa"/>
          </w:tcPr>
          <w:p w:rsidR="003A5E68" w:rsidRPr="003A5E68" w:rsidDel="00E7634A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Особистісні компетенції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відповідальність;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n110"/>
            <w:bookmarkEnd w:id="3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системність і самостійність в роботі;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самоорганізованість</w:t>
            </w:r>
            <w:proofErr w:type="spellEnd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висока працездатність;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неупередженість та об’єктивність;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непричетність до корупційних скандалів;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позитивна репутація.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" w:name="n111"/>
            <w:bookmarkEnd w:id="4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уважність до деталей;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5" w:name="n112"/>
            <w:bookmarkEnd w:id="5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наполегливість;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6" w:name="n113"/>
            <w:bookmarkEnd w:id="6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креативність та ініціативність;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7" w:name="n114"/>
            <w:bookmarkEnd w:id="7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орієнтація на саморозвиток;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8" w:name="n115"/>
            <w:bookmarkStart w:id="9" w:name="n116"/>
            <w:bookmarkEnd w:id="8"/>
            <w:bookmarkEnd w:id="9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вміння працювати в стресових ситуаціях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ІІІ</w:t>
            </w:r>
          </w:p>
        </w:tc>
        <w:tc>
          <w:tcPr>
            <w:tcW w:w="8687" w:type="dxa"/>
            <w:gridSpan w:val="3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uk-UA"/>
              </w:rPr>
              <w:t>ІНШІ ВІДОМОСТІ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Кваліфікаційний іспит (тестування)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Тестування на знання законодавства 1-го рівня (https://nabu.gov.ua/perelik-pytan-do-kvalifikaciynogo-ispytu)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Перелік документів</w:t>
            </w:r>
          </w:p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https://nabu.gov.ua/poryadok-provedennya-vidkrytogo-konkursu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6659D6">
            <w:pPr>
              <w:spacing w:after="0" w:line="240" w:lineRule="auto"/>
              <w:ind w:left="24" w:hanging="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копія паспорта громадянина України;</w:t>
            </w:r>
          </w:p>
          <w:p w:rsidR="003A5E68" w:rsidRPr="003A5E68" w:rsidRDefault="003A5E68" w:rsidP="006659D6">
            <w:pPr>
              <w:spacing w:after="0" w:line="240" w:lineRule="auto"/>
              <w:ind w:left="24" w:hanging="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письмова заява про участь у конкурсі встановленого зразка;</w:t>
            </w:r>
          </w:p>
          <w:p w:rsidR="003A5E68" w:rsidRPr="003A5E68" w:rsidRDefault="003A5E68" w:rsidP="006659D6">
            <w:pPr>
              <w:spacing w:after="0" w:line="240" w:lineRule="auto"/>
              <w:ind w:left="24" w:hanging="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письмова заява, про незастосування заборони, визначені частиною третьою або четвертою статті 1 Закону України "Про очищення влади" та згода на проходження перевірки та на оприлюднення відомостей, відповідно до зазначеного Закону;</w:t>
            </w:r>
          </w:p>
          <w:p w:rsidR="003A5E68" w:rsidRPr="003A5E68" w:rsidRDefault="003A5E68" w:rsidP="006659D6">
            <w:pPr>
              <w:spacing w:after="0" w:line="240" w:lineRule="auto"/>
              <w:ind w:left="24" w:hanging="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анкета кандидата на посаду особи начальницького складу разом з автобіограф</w:t>
            </w:r>
            <w:bookmarkStart w:id="10" w:name="_GoBack"/>
            <w:bookmarkEnd w:id="10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ією; </w:t>
            </w:r>
          </w:p>
          <w:p w:rsidR="003A5E68" w:rsidRPr="003A5E68" w:rsidRDefault="003A5E68" w:rsidP="006659D6">
            <w:pPr>
              <w:spacing w:after="0" w:line="240" w:lineRule="auto"/>
              <w:ind w:left="24" w:hanging="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фотокартка розміром 4 х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3A5E68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6 см</w:t>
              </w:r>
            </w:smartTag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 </w:t>
            </w:r>
            <w:proofErr w:type="spellStart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A5E68" w:rsidRPr="003A5E68" w:rsidRDefault="003A5E68" w:rsidP="006659D6">
            <w:pPr>
              <w:spacing w:after="0" w:line="240" w:lineRule="auto"/>
              <w:ind w:left="24" w:hanging="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копію (копії) документа (документів) про освіту із додатками, присвоєння вченого звання, присудження наукового ступеня;</w:t>
            </w:r>
          </w:p>
          <w:p w:rsidR="003A5E68" w:rsidRDefault="003A5E68" w:rsidP="006659D6">
            <w:pPr>
              <w:spacing w:after="0" w:line="240" w:lineRule="auto"/>
              <w:ind w:left="24" w:hanging="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-роздрукована декларація особи, уповноваженої на виконання функцій держави або місцевого самоврядування (за 2016 рік), яка розміщується на сайті НАЗК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із зазначенням посади кандидата «Кандидат на посаду працівника Національного антикорупційного бюро України»;</w:t>
            </w:r>
          </w:p>
          <w:p w:rsidR="003A5E68" w:rsidRPr="003A5E68" w:rsidRDefault="003A5E68" w:rsidP="006659D6">
            <w:pPr>
              <w:spacing w:after="0" w:line="240" w:lineRule="auto"/>
              <w:ind w:left="24" w:hanging="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копія приписного свідоцтва або військового квитка (для військовослужбовців або військовозобов'язаних, офіцерів запасу);</w:t>
            </w:r>
          </w:p>
          <w:p w:rsidR="003A5E68" w:rsidRPr="003A5E68" w:rsidRDefault="003A5E68" w:rsidP="003A5E68">
            <w:pPr>
              <w:spacing w:after="0" w:line="240" w:lineRule="auto"/>
              <w:ind w:left="24"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 довідка про допуск до державної таємниці (у разі наявності такого допуску);</w:t>
            </w:r>
          </w:p>
          <w:p w:rsidR="003A5E68" w:rsidRPr="003A5E68" w:rsidRDefault="003A5E68" w:rsidP="003A5E68">
            <w:pPr>
              <w:spacing w:after="0" w:line="240" w:lineRule="auto"/>
              <w:ind w:left="24"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письмова згода на обробку персональних даних</w:t>
            </w:r>
          </w:p>
          <w:p w:rsidR="003A5E68" w:rsidRPr="003A5E68" w:rsidRDefault="003A5E68" w:rsidP="003A5E68">
            <w:pPr>
              <w:spacing w:after="0" w:line="240" w:lineRule="auto"/>
              <w:ind w:left="24" w:firstLine="28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Направлення лише заяви або резюме не є підставою для участі у конкурсі.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Додаткові вимоги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участі у конкурсі на зайняття посад осіб начальницького складу Національного бюро не допускаються особи: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які досягли граничного віку перебування на службі;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які за станом здоров'я не придатні до проходження військової служби;</w:t>
            </w:r>
          </w:p>
          <w:p w:rsidR="003A5E68" w:rsidRPr="003A5E68" w:rsidRDefault="003A5E68" w:rsidP="003A5E68">
            <w:pPr>
              <w:spacing w:after="0" w:line="240" w:lineRule="auto"/>
              <w:ind w:firstLine="307"/>
              <w:jc w:val="both"/>
              <w:rPr>
                <w:rFonts w:ascii="Arial" w:eastAsiaTheme="minorEastAsia" w:hAnsi="Arial" w:cs="Arial"/>
                <w:color w:val="4A4B4C"/>
                <w:sz w:val="24"/>
                <w:szCs w:val="24"/>
                <w:lang w:eastAsia="ru-RU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які звільнені у відставку.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Термін подання документів</w:t>
            </w:r>
          </w:p>
        </w:tc>
        <w:tc>
          <w:tcPr>
            <w:tcW w:w="5084" w:type="dxa"/>
            <w:gridSpan w:val="2"/>
            <w:vAlign w:val="center"/>
          </w:tcPr>
          <w:p w:rsidR="003A5E68" w:rsidRPr="003A5E68" w:rsidRDefault="003A5E68" w:rsidP="003A5E68">
            <w:pPr>
              <w:spacing w:after="0" w:line="240" w:lineRule="auto"/>
              <w:ind w:firstLine="30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kern w:val="36"/>
                <w:sz w:val="24"/>
                <w:szCs w:val="24"/>
                <w:lang w:eastAsia="uk-UA"/>
              </w:rPr>
              <w:t xml:space="preserve">Протягом 10 календарних днів з дня </w:t>
            </w:r>
            <w:r w:rsidRPr="003A5E6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uk-UA"/>
              </w:rPr>
              <w:t>оприлюднення повідомлення про проведення конкурсу.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  <w:p w:rsidR="003A5E68" w:rsidRPr="003A5E68" w:rsidRDefault="003A5E68" w:rsidP="003A5E6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03035, м. Київ, вул. Василя Сурикова, 3</w:t>
            </w:r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Контактні дані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E-</w:t>
            </w:r>
            <w:proofErr w:type="spellStart"/>
            <w:r w:rsidRPr="003A5E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mail</w:t>
            </w:r>
            <w:proofErr w:type="spellEnd"/>
            <w:r w:rsidRPr="003A5E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:</w:t>
            </w: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hyperlink r:id="rId7" w:history="1">
              <w:r w:rsidRPr="00A66C11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uk-UA"/>
                </w:rPr>
                <w:t>commission3@nabu.gov.ua</w:t>
              </w:r>
            </w:hyperlink>
          </w:p>
        </w:tc>
      </w:tr>
      <w:tr w:rsidR="003A5E68" w:rsidRPr="003A5E68" w:rsidTr="00871771">
        <w:tc>
          <w:tcPr>
            <w:tcW w:w="658" w:type="dxa"/>
          </w:tcPr>
          <w:p w:rsidR="003A5E68" w:rsidRPr="003A5E68" w:rsidRDefault="003A5E68" w:rsidP="003A5E6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03" w:type="dxa"/>
          </w:tcPr>
          <w:p w:rsidR="003A5E68" w:rsidRPr="003A5E68" w:rsidRDefault="003A5E68" w:rsidP="003A5E6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5084" w:type="dxa"/>
            <w:gridSpan w:val="2"/>
          </w:tcPr>
          <w:p w:rsidR="003A5E68" w:rsidRPr="003A5E68" w:rsidRDefault="003A5E68" w:rsidP="003A5E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36"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kern w:val="36"/>
                <w:sz w:val="24"/>
                <w:szCs w:val="24"/>
                <w:lang w:eastAsia="uk-UA"/>
              </w:rPr>
              <w:t>Посадовий оклад: 40 320 грн.</w:t>
            </w:r>
          </w:p>
          <w:p w:rsidR="003A5E68" w:rsidRPr="003A5E68" w:rsidRDefault="003A5E68" w:rsidP="003A5E6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A5E68">
              <w:rPr>
                <w:rFonts w:ascii="Times New Roman" w:eastAsiaTheme="minorEastAsia" w:hAnsi="Times New Roman" w:cs="Times New Roman"/>
                <w:kern w:val="36"/>
                <w:sz w:val="24"/>
                <w:szCs w:val="24"/>
                <w:lang w:eastAsia="uk-UA"/>
              </w:rPr>
              <w:t>Доплати: відповідно до ст. 23 Закону України «Про Національне антикорупційне бюро України»</w:t>
            </w:r>
            <w:r w:rsidRPr="003A5E6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3A5E68" w:rsidRPr="003A5E68" w:rsidRDefault="003A5E68" w:rsidP="003A5E6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A5E68" w:rsidRPr="003A5E68" w:rsidRDefault="003A5E68" w:rsidP="003A5E68">
      <w:pPr>
        <w:spacing w:after="200" w:line="276" w:lineRule="auto"/>
        <w:rPr>
          <w:rFonts w:eastAsiaTheme="minorEastAsia" w:cs="Times New Roman"/>
          <w:lang w:eastAsia="uk-UA"/>
        </w:rPr>
      </w:pPr>
    </w:p>
    <w:p w:rsidR="00253AFD" w:rsidRDefault="00253AFD"/>
    <w:sectPr w:rsidR="00253AFD" w:rsidSect="00A66C11">
      <w:headerReference w:type="default" r:id="rId8"/>
      <w:footnotePr>
        <w:numFmt w:val="chicago"/>
      </w:footnotePr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DA" w:rsidRDefault="00D54BDA">
      <w:pPr>
        <w:spacing w:after="0" w:line="240" w:lineRule="auto"/>
      </w:pPr>
      <w:r>
        <w:separator/>
      </w:r>
    </w:p>
  </w:endnote>
  <w:endnote w:type="continuationSeparator" w:id="0">
    <w:p w:rsidR="00D54BDA" w:rsidRDefault="00D5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DA" w:rsidRDefault="00D54BDA">
      <w:pPr>
        <w:spacing w:after="0" w:line="240" w:lineRule="auto"/>
      </w:pPr>
      <w:r>
        <w:separator/>
      </w:r>
    </w:p>
  </w:footnote>
  <w:footnote w:type="continuationSeparator" w:id="0">
    <w:p w:rsidR="00D54BDA" w:rsidRDefault="00D5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C2" w:rsidRDefault="007C7E2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659D6">
      <w:rPr>
        <w:noProof/>
      </w:rPr>
      <w:t>5</w:t>
    </w:r>
    <w:r>
      <w:fldChar w:fldCharType="end"/>
    </w:r>
  </w:p>
  <w:p w:rsidR="00513AC2" w:rsidRDefault="00D54B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65742CD"/>
    <w:multiLevelType w:val="hybridMultilevel"/>
    <w:tmpl w:val="C49061F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68"/>
    <w:rsid w:val="00253AFD"/>
    <w:rsid w:val="003A5E68"/>
    <w:rsid w:val="006659D6"/>
    <w:rsid w:val="007C7E20"/>
    <w:rsid w:val="009D15F3"/>
    <w:rsid w:val="00A66C11"/>
    <w:rsid w:val="00D54BDA"/>
    <w:rsid w:val="00E2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8483D-0E47-4D56-BF3C-BB2CEC75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5E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3A5E68"/>
  </w:style>
  <w:style w:type="paragraph" w:styleId="a5">
    <w:name w:val="Balloon Text"/>
    <w:basedOn w:val="a"/>
    <w:link w:val="a6"/>
    <w:uiPriority w:val="99"/>
    <w:semiHidden/>
    <w:unhideWhenUsed/>
    <w:rsid w:val="00A66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66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ission3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5459</Words>
  <Characters>3112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cp:keywords/>
  <dc:description/>
  <cp:lastModifiedBy>Красовський Іван Юрійович</cp:lastModifiedBy>
  <cp:revision>5</cp:revision>
  <cp:lastPrinted>2017-04-04T09:37:00Z</cp:lastPrinted>
  <dcterms:created xsi:type="dcterms:W3CDTF">2017-04-04T09:14:00Z</dcterms:created>
  <dcterms:modified xsi:type="dcterms:W3CDTF">2017-04-12T06:37:00Z</dcterms:modified>
</cp:coreProperties>
</file>