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F4" w:rsidRPr="004D2C73" w:rsidRDefault="005C5CF4" w:rsidP="005C5CF4">
      <w:pPr>
        <w:jc w:val="center"/>
        <w:rPr>
          <w:b/>
          <w:sz w:val="28"/>
          <w:szCs w:val="28"/>
          <w:lang w:val="uk-UA"/>
        </w:rPr>
      </w:pPr>
      <w:r w:rsidRPr="004D2C73">
        <w:rPr>
          <w:b/>
          <w:sz w:val="28"/>
          <w:szCs w:val="28"/>
          <w:lang w:val="uk-UA"/>
        </w:rPr>
        <w:t>ПРОФІЛЬ</w:t>
      </w:r>
      <w:r w:rsidRPr="004D2C73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5C5CF4" w:rsidRPr="004D2C73" w:rsidRDefault="005C5CF4" w:rsidP="005C5CF4">
      <w:pPr>
        <w:jc w:val="center"/>
        <w:rPr>
          <w:b/>
          <w:i/>
          <w:sz w:val="28"/>
          <w:szCs w:val="28"/>
          <w:lang w:val="uk-UA"/>
        </w:rPr>
      </w:pPr>
      <w:r w:rsidRPr="004D2C73">
        <w:rPr>
          <w:b/>
          <w:i/>
          <w:sz w:val="28"/>
          <w:szCs w:val="28"/>
          <w:lang w:val="uk-UA"/>
        </w:rPr>
        <w:t xml:space="preserve">Начальника </w:t>
      </w:r>
      <w:r w:rsidR="00673A44">
        <w:rPr>
          <w:b/>
          <w:i/>
          <w:sz w:val="28"/>
          <w:szCs w:val="28"/>
          <w:lang w:val="uk-UA"/>
        </w:rPr>
        <w:t>В</w:t>
      </w:r>
      <w:r w:rsidRPr="004D2C73">
        <w:rPr>
          <w:b/>
          <w:i/>
          <w:sz w:val="28"/>
          <w:szCs w:val="28"/>
          <w:lang w:val="uk-UA"/>
        </w:rPr>
        <w:t xml:space="preserve">ідділу </w:t>
      </w:r>
      <w:r w:rsidR="00C753B8">
        <w:rPr>
          <w:b/>
          <w:i/>
          <w:sz w:val="28"/>
          <w:szCs w:val="28"/>
          <w:lang w:val="uk-UA"/>
        </w:rPr>
        <w:t>детективів по виявленню</w:t>
      </w:r>
      <w:r w:rsidR="00345B29" w:rsidRPr="00345B29">
        <w:rPr>
          <w:b/>
          <w:i/>
          <w:sz w:val="28"/>
          <w:szCs w:val="28"/>
          <w:lang w:val="uk-UA"/>
        </w:rPr>
        <w:t xml:space="preserve"> </w:t>
      </w:r>
      <w:r w:rsidR="00DC7D3E">
        <w:rPr>
          <w:b/>
          <w:i/>
          <w:sz w:val="28"/>
          <w:szCs w:val="28"/>
          <w:lang w:val="uk-UA"/>
        </w:rPr>
        <w:t xml:space="preserve">неправомірної вигоди та незаконного збагачення </w:t>
      </w:r>
      <w:r w:rsidR="00345B29">
        <w:rPr>
          <w:b/>
          <w:i/>
          <w:sz w:val="28"/>
          <w:szCs w:val="28"/>
          <w:lang w:val="uk-UA"/>
        </w:rPr>
        <w:t>Управління аналітики та обробки інформації</w:t>
      </w:r>
    </w:p>
    <w:p w:rsidR="005C5CF4" w:rsidRPr="004D2C73" w:rsidRDefault="005C5CF4" w:rsidP="005C5CF4">
      <w:pPr>
        <w:jc w:val="center"/>
        <w:rPr>
          <w:b/>
          <w:sz w:val="28"/>
          <w:szCs w:val="28"/>
          <w:lang w:val="uk-UA"/>
        </w:rPr>
      </w:pPr>
      <w:r w:rsidRPr="004D2C73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C5CF4" w:rsidRPr="004D2C73" w:rsidRDefault="005C5CF4" w:rsidP="005C5CF4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4881"/>
        <w:gridCol w:w="5256"/>
      </w:tblGrid>
      <w:tr w:rsidR="007D2817" w:rsidRPr="006B5EA2" w:rsidTr="00E44F2F">
        <w:tc>
          <w:tcPr>
            <w:tcW w:w="4608" w:type="dxa"/>
            <w:shd w:val="clear" w:color="auto" w:fill="auto"/>
          </w:tcPr>
          <w:p w:rsidR="007D2817" w:rsidRPr="006B5EA2" w:rsidRDefault="007D2817" w:rsidP="00E44F2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D2817" w:rsidRPr="006B5EA2" w:rsidRDefault="007D2817" w:rsidP="00E44F2F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7D2817" w:rsidRPr="006B5EA2" w:rsidTr="00E44F2F">
        <w:tc>
          <w:tcPr>
            <w:tcW w:w="4608" w:type="dxa"/>
            <w:shd w:val="clear" w:color="auto" w:fill="auto"/>
          </w:tcPr>
          <w:p w:rsidR="007D2817" w:rsidRPr="006B5EA2" w:rsidRDefault="007D2817" w:rsidP="00E44F2F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D2817" w:rsidRPr="006B5EA2" w:rsidRDefault="007D2817" w:rsidP="00E44F2F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7D2817" w:rsidRPr="00EC25BD" w:rsidTr="00E44F2F">
        <w:tc>
          <w:tcPr>
            <w:tcW w:w="4608" w:type="dxa"/>
            <w:shd w:val="clear" w:color="auto" w:fill="auto"/>
          </w:tcPr>
          <w:p w:rsidR="007D2817" w:rsidRPr="006B5EA2" w:rsidRDefault="007D2817" w:rsidP="00E44F2F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D2817" w:rsidRPr="006B5EA2" w:rsidRDefault="007D2817" w:rsidP="00E44F2F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7D2817" w:rsidRPr="00EC25BD" w:rsidTr="00E44F2F">
        <w:tc>
          <w:tcPr>
            <w:tcW w:w="4608" w:type="dxa"/>
            <w:shd w:val="clear" w:color="auto" w:fill="auto"/>
          </w:tcPr>
          <w:p w:rsidR="007D2817" w:rsidRPr="006B5EA2" w:rsidRDefault="007D2817" w:rsidP="00E44F2F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D2817" w:rsidRPr="006B5EA2" w:rsidRDefault="007D2817" w:rsidP="00E44F2F">
            <w:pPr>
              <w:rPr>
                <w:lang w:val="uk-UA"/>
              </w:rPr>
            </w:pPr>
          </w:p>
        </w:tc>
      </w:tr>
      <w:tr w:rsidR="007D2817" w:rsidRPr="006B5EA2" w:rsidTr="00E44F2F">
        <w:tc>
          <w:tcPr>
            <w:tcW w:w="4608" w:type="dxa"/>
            <w:shd w:val="clear" w:color="auto" w:fill="auto"/>
          </w:tcPr>
          <w:p w:rsidR="007D2817" w:rsidRPr="006B5EA2" w:rsidRDefault="007D2817" w:rsidP="00E44F2F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D2817" w:rsidRPr="006B5EA2" w:rsidRDefault="007D2817" w:rsidP="00E44F2F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7D2817" w:rsidRPr="004D2C73" w:rsidRDefault="007D2817" w:rsidP="007D2817">
      <w:pPr>
        <w:jc w:val="center"/>
        <w:rPr>
          <w:b/>
          <w:sz w:val="28"/>
          <w:szCs w:val="28"/>
          <w:lang w:val="uk-UA"/>
        </w:rPr>
      </w:pPr>
    </w:p>
    <w:p w:rsidR="007D2817" w:rsidRPr="004D2C73" w:rsidRDefault="007D2817" w:rsidP="007D2817">
      <w:pPr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5B1966">
            <w:pPr>
              <w:rPr>
                <w:b/>
                <w:bCs/>
                <w:lang w:val="uk-UA"/>
              </w:rPr>
            </w:pPr>
            <w:r w:rsidRPr="004D2C73"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b/>
                <w:bCs/>
                <w:lang w:val="uk-UA"/>
              </w:rPr>
            </w:pPr>
            <w:r w:rsidRPr="004D2C73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Національне антикорупційне бюро України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753B8" w:rsidP="00900100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C753B8">
              <w:rPr>
                <w:bCs/>
                <w:lang w:val="uk-UA"/>
              </w:rPr>
              <w:t xml:space="preserve">Відділ детективів по виявленню </w:t>
            </w:r>
            <w:r w:rsidR="00900100">
              <w:rPr>
                <w:bCs/>
                <w:lang w:val="uk-UA"/>
              </w:rPr>
              <w:t>неправомірної вигоди та незаконного збагачення</w:t>
            </w:r>
            <w:r w:rsidRPr="00C753B8">
              <w:rPr>
                <w:bCs/>
                <w:lang w:val="uk-UA"/>
              </w:rPr>
              <w:t xml:space="preserve"> </w:t>
            </w:r>
            <w:r w:rsidR="005C5CF4" w:rsidRPr="00C753B8">
              <w:rPr>
                <w:bCs/>
                <w:lang w:val="uk-UA"/>
              </w:rPr>
              <w:t>Управління аналітики та обробки інформації</w:t>
            </w:r>
            <w:r w:rsidR="005C5CF4" w:rsidRPr="004D2C73">
              <w:rPr>
                <w:lang w:val="uk-UA"/>
              </w:rPr>
              <w:t xml:space="preserve">   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3212E3">
            <w:pPr>
              <w:tabs>
                <w:tab w:val="left" w:pos="342"/>
              </w:tabs>
              <w:jc w:val="both"/>
              <w:rPr>
                <w:bCs/>
                <w:lang w:val="uk-UA"/>
              </w:rPr>
            </w:pPr>
            <w:r w:rsidRPr="004D2C73">
              <w:rPr>
                <w:bCs/>
                <w:lang w:val="uk-UA"/>
              </w:rPr>
              <w:t xml:space="preserve">Начальник відділу 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caps/>
                <w:lang w:val="uk-UA"/>
              </w:rPr>
            </w:pPr>
            <w:r w:rsidRPr="004D2C73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</w:p>
        </w:tc>
      </w:tr>
      <w:tr w:rsidR="005C5CF4" w:rsidRPr="00491E8E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1D3AE5">
            <w:pPr>
              <w:jc w:val="both"/>
              <w:rPr>
                <w:caps/>
                <w:lang w:val="uk-UA"/>
              </w:rPr>
            </w:pPr>
            <w:r w:rsidRPr="004D2C73">
              <w:rPr>
                <w:lang w:val="uk-UA"/>
              </w:rPr>
              <w:t>Мета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A455BA" w:rsidP="00F12AD9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Забезпечує роботу Відділу в частині </w:t>
            </w:r>
            <w:r w:rsidR="00F12AD9">
              <w:rPr>
                <w:lang w:val="uk-UA"/>
              </w:rPr>
              <w:t>п</w:t>
            </w:r>
            <w:r w:rsidR="00F12AD9" w:rsidRPr="004E4626">
              <w:rPr>
                <w:lang w:val="uk-UA"/>
              </w:rPr>
              <w:t xml:space="preserve">опередження та виявлення </w:t>
            </w:r>
            <w:r w:rsidR="00F12AD9" w:rsidRPr="00F12AD9">
              <w:rPr>
                <w:lang w:val="uk-UA"/>
              </w:rPr>
              <w:t xml:space="preserve">кримінальних </w:t>
            </w:r>
            <w:r w:rsidR="00F12AD9" w:rsidRPr="004E4626">
              <w:rPr>
                <w:lang w:val="uk-UA"/>
              </w:rPr>
              <w:t>корупційних правопорушень, віднесених до підслідності Національного антикорупційного бюро України</w:t>
            </w:r>
          </w:p>
        </w:tc>
      </w:tr>
      <w:tr w:rsidR="005C5CF4" w:rsidRPr="004D2C73" w:rsidTr="00F12AD9">
        <w:trPr>
          <w:trHeight w:val="9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5C5CF4" w:rsidP="005B1966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9" w:rsidRPr="0053210E" w:rsidRDefault="008873ED" w:rsidP="0053210E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D2C73">
              <w:rPr>
                <w:spacing w:val="-4"/>
                <w:shd w:val="clear" w:color="auto" w:fill="FFFFFF"/>
                <w:lang w:val="uk-UA"/>
              </w:rPr>
              <w:t>з</w:t>
            </w:r>
            <w:r w:rsidR="00A455BA" w:rsidRPr="004D2C73">
              <w:rPr>
                <w:lang w:val="uk-UA"/>
              </w:rPr>
              <w:t>дійснює безпосереднє керівництво Відділом,</w:t>
            </w:r>
            <w:r w:rsidR="00A455BA" w:rsidRPr="004D2C73">
              <w:rPr>
                <w:spacing w:val="-4"/>
                <w:shd w:val="clear" w:color="auto" w:fill="FFFFFF"/>
                <w:lang w:val="uk-UA"/>
              </w:rPr>
              <w:t xml:space="preserve"> о</w:t>
            </w:r>
            <w:r w:rsidR="005C5CF4" w:rsidRPr="004D2C73">
              <w:rPr>
                <w:spacing w:val="-4"/>
                <w:shd w:val="clear" w:color="auto" w:fill="FFFFFF"/>
                <w:lang w:val="uk-UA"/>
              </w:rPr>
              <w:t xml:space="preserve">рганізовує роботу </w:t>
            </w:r>
            <w:r w:rsidR="00A455BA" w:rsidRPr="004D2C73">
              <w:rPr>
                <w:spacing w:val="-4"/>
                <w:shd w:val="clear" w:color="auto" w:fill="FFFFFF"/>
                <w:lang w:val="uk-UA"/>
              </w:rPr>
              <w:t>В</w:t>
            </w:r>
            <w:r w:rsidR="005C5CF4" w:rsidRPr="004D2C73">
              <w:rPr>
                <w:spacing w:val="-4"/>
                <w:shd w:val="clear" w:color="auto" w:fill="FFFFFF"/>
                <w:lang w:val="uk-UA"/>
              </w:rPr>
              <w:t xml:space="preserve">ідділу з метою </w:t>
            </w:r>
            <w:r w:rsidR="00F12AD9" w:rsidRPr="00F12AD9">
              <w:rPr>
                <w:lang w:val="uk-UA"/>
              </w:rPr>
              <w:t xml:space="preserve">збору інформації (даних), направлених на виявлення </w:t>
            </w:r>
            <w:r w:rsidR="007D2817" w:rsidRPr="00BA5051">
              <w:rPr>
                <w:lang w:val="uk-UA"/>
              </w:rPr>
              <w:t>неправомірної вигоди та незаконного збагачення</w:t>
            </w:r>
            <w:r w:rsidR="007D2817" w:rsidRPr="007D2817">
              <w:rPr>
                <w:lang w:val="uk-UA"/>
              </w:rPr>
              <w:t xml:space="preserve"> осіб, уповноважених на виконання функцій держави або місцевого самоврядування, кримінальні корупційні правопорушення яких віднесено до підслідності Національного антикорупційного бюро України,</w:t>
            </w:r>
            <w:r w:rsidR="00F12AD9">
              <w:rPr>
                <w:lang w:val="uk-UA"/>
              </w:rPr>
              <w:t xml:space="preserve"> </w:t>
            </w:r>
            <w:r w:rsidR="00F12AD9" w:rsidRPr="00F12AD9">
              <w:rPr>
                <w:lang w:val="uk-UA"/>
              </w:rPr>
              <w:t xml:space="preserve">обробки та аналізу інформації (даних) на предмет виявлення ознак </w:t>
            </w:r>
            <w:r w:rsidR="007D2817">
              <w:rPr>
                <w:lang w:val="uk-UA"/>
              </w:rPr>
              <w:t>таких</w:t>
            </w:r>
            <w:r w:rsidR="00F12AD9" w:rsidRPr="00F12AD9">
              <w:rPr>
                <w:lang w:val="uk-UA"/>
              </w:rPr>
              <w:t xml:space="preserve"> правопорушень, </w:t>
            </w:r>
            <w:r w:rsidR="0053210E" w:rsidRPr="0053210E">
              <w:rPr>
                <w:lang w:val="uk-UA"/>
              </w:rPr>
              <w:t>отримання доказів наявності події та складу кримінального правопорушення, встановлення місця знаходження осіб, що вчинили правопорушення, та кримінальних активів;</w:t>
            </w:r>
          </w:p>
          <w:p w:rsidR="00C87B14" w:rsidRDefault="00F12AD9" w:rsidP="00B440E4">
            <w:pPr>
              <w:pStyle w:val="a3"/>
              <w:numPr>
                <w:ilvl w:val="2"/>
                <w:numId w:val="16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>організовує та забезпечує</w:t>
            </w:r>
            <w:r w:rsidRPr="00F12AD9">
              <w:rPr>
                <w:lang w:val="uk-UA"/>
              </w:rPr>
              <w:t xml:space="preserve"> 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</w:t>
            </w:r>
            <w:r w:rsidR="008873ED" w:rsidRPr="004D2C73">
              <w:rPr>
                <w:color w:val="000000"/>
                <w:lang w:val="uk-UA" w:eastAsia="uk-UA"/>
              </w:rPr>
              <w:t>;</w:t>
            </w:r>
          </w:p>
          <w:p w:rsidR="0053210E" w:rsidRPr="004D2C73" w:rsidRDefault="0053210E" w:rsidP="00B440E4">
            <w:pPr>
              <w:pStyle w:val="a3"/>
              <w:numPr>
                <w:ilvl w:val="2"/>
                <w:numId w:val="16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/>
              </w:rPr>
              <w:t xml:space="preserve">організовує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spellStart"/>
            <w:r>
              <w:t>рекомендацій</w:t>
            </w:r>
            <w:proofErr w:type="spellEnd"/>
            <w:r w:rsidRPr="006B5EA2"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r w:rsidRPr="006B5EA2">
              <w:rPr>
                <w:lang w:val="uk-UA"/>
              </w:rPr>
              <w:t>план</w:t>
            </w:r>
            <w:proofErr w:type="spellStart"/>
            <w:r>
              <w:t>ування</w:t>
            </w:r>
            <w:proofErr w:type="spellEnd"/>
            <w:r>
              <w:rPr>
                <w:lang w:val="uk-UA"/>
              </w:rPr>
              <w:t xml:space="preserve"> оперативно-розшукових та оперативно-технічних заходів по</w:t>
            </w:r>
            <w:r w:rsidRPr="006B5EA2">
              <w:rPr>
                <w:lang w:val="uk-UA"/>
              </w:rPr>
              <w:t xml:space="preserve"> оперативно-розшуков</w:t>
            </w:r>
            <w:r>
              <w:rPr>
                <w:lang w:val="uk-UA"/>
              </w:rPr>
              <w:t>ій</w:t>
            </w:r>
            <w:r w:rsidRPr="006B5EA2">
              <w:rPr>
                <w:lang w:val="uk-UA"/>
              </w:rPr>
              <w:t xml:space="preserve"> справ</w:t>
            </w:r>
            <w:r>
              <w:rPr>
                <w:lang w:val="uk-UA"/>
              </w:rPr>
              <w:t xml:space="preserve">і, </w:t>
            </w:r>
            <w:r w:rsidRPr="006B5EA2">
              <w:rPr>
                <w:lang w:val="uk-UA"/>
              </w:rPr>
              <w:t>досудового розслідування</w:t>
            </w:r>
            <w:r>
              <w:rPr>
                <w:lang w:val="uk-UA"/>
              </w:rPr>
              <w:t xml:space="preserve"> по кримінальному провадженню</w:t>
            </w:r>
            <w:r w:rsidRPr="006B5EA2">
              <w:rPr>
                <w:lang w:val="uk-UA"/>
              </w:rPr>
              <w:t xml:space="preserve">, а також окремих </w:t>
            </w:r>
            <w:r w:rsidRPr="006B5EA2">
              <w:rPr>
                <w:lang w:val="uk-UA"/>
              </w:rPr>
              <w:lastRenderedPageBreak/>
              <w:t>слідчих чи (розшукових) дій</w:t>
            </w:r>
            <w:r>
              <w:t xml:space="preserve">,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консультативної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детективам </w:t>
            </w:r>
            <w:proofErr w:type="spellStart"/>
            <w:r w:rsidRPr="00B044F0">
              <w:t>Національного</w:t>
            </w:r>
            <w:proofErr w:type="spellEnd"/>
            <w:r w:rsidRPr="00B044F0">
              <w:t xml:space="preserve"> </w:t>
            </w:r>
            <w:proofErr w:type="spellStart"/>
            <w:r w:rsidRPr="00B044F0">
              <w:t>антикорупційного</w:t>
            </w:r>
            <w:proofErr w:type="spellEnd"/>
            <w:r w:rsidRPr="00B044F0">
              <w:t xml:space="preserve"> бюро </w:t>
            </w:r>
            <w:proofErr w:type="spellStart"/>
            <w:r w:rsidRPr="00B044F0">
              <w:t>України</w:t>
            </w:r>
            <w:proofErr w:type="spellEnd"/>
            <w:r>
              <w:t xml:space="preserve"> в рамках </w:t>
            </w:r>
            <w:proofErr w:type="spellStart"/>
            <w:r>
              <w:t>досудового</w:t>
            </w:r>
            <w:proofErr w:type="spellEnd"/>
            <w:r>
              <w:t xml:space="preserve"> </w:t>
            </w:r>
            <w:proofErr w:type="spellStart"/>
            <w:r>
              <w:t>розслідування</w:t>
            </w:r>
            <w:proofErr w:type="spellEnd"/>
            <w:r>
              <w:t xml:space="preserve"> по </w:t>
            </w:r>
            <w:proofErr w:type="spellStart"/>
            <w:r>
              <w:t>кримінальному</w:t>
            </w:r>
            <w:proofErr w:type="spellEnd"/>
            <w:r>
              <w:t xml:space="preserve"> </w:t>
            </w:r>
            <w:proofErr w:type="spellStart"/>
            <w:r>
              <w:t>провадженню</w:t>
            </w:r>
            <w:proofErr w:type="spellEnd"/>
            <w:r>
              <w:t>;</w:t>
            </w:r>
          </w:p>
          <w:p w:rsidR="00F12AD9" w:rsidRDefault="008873ED" w:rsidP="00F12AD9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 w:eastAsia="uk-UA"/>
              </w:rPr>
            </w:pPr>
            <w:r w:rsidRPr="004D2C73">
              <w:rPr>
                <w:color w:val="000000"/>
                <w:spacing w:val="-4"/>
                <w:shd w:val="clear" w:color="auto" w:fill="FFFFFF"/>
                <w:lang w:val="uk-UA" w:eastAsia="uk-UA"/>
              </w:rPr>
              <w:t xml:space="preserve"> </w:t>
            </w:r>
            <w:r w:rsidR="00F12AD9" w:rsidRPr="002B66F6">
              <w:rPr>
                <w:spacing w:val="-4"/>
                <w:shd w:val="clear" w:color="auto" w:fill="FFFFFF"/>
                <w:lang w:val="uk-UA"/>
              </w:rPr>
              <w:t>організовує розробку</w:t>
            </w:r>
            <w:r w:rsidR="00F12AD9">
              <w:rPr>
                <w:spacing w:val="-4"/>
                <w:shd w:val="clear" w:color="auto" w:fill="FFFFFF"/>
                <w:lang w:val="uk-UA"/>
              </w:rPr>
              <w:t xml:space="preserve"> та впровадження</w:t>
            </w:r>
            <w:r w:rsidR="00F12AD9" w:rsidRPr="002B66F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="00F12AD9" w:rsidRPr="00F12AD9">
              <w:rPr>
                <w:lang w:val="uk-UA"/>
              </w:rPr>
              <w:t>критеріїв ризику та ознак кримінальних корупційних правопорушень</w:t>
            </w:r>
            <w:r w:rsidR="00F12AD9">
              <w:rPr>
                <w:lang w:val="uk-UA"/>
              </w:rPr>
              <w:t xml:space="preserve"> </w:t>
            </w:r>
            <w:r w:rsidR="00F12AD9" w:rsidRPr="00F12AD9">
              <w:rPr>
                <w:lang w:val="uk-UA"/>
              </w:rPr>
              <w:t>у сфері виконання функцій держави або місцевого самоврядування</w:t>
            </w:r>
            <w:r w:rsidR="00F12AD9">
              <w:rPr>
                <w:lang w:val="uk-UA"/>
              </w:rPr>
              <w:t>;</w:t>
            </w:r>
          </w:p>
          <w:p w:rsidR="00C87B14" w:rsidRPr="004D2C73" w:rsidRDefault="008873ED" w:rsidP="00B440E4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 w:eastAsia="uk-UA"/>
              </w:rPr>
            </w:pPr>
            <w:r w:rsidRPr="004D2C73">
              <w:rPr>
                <w:color w:val="000000"/>
                <w:spacing w:val="-4"/>
                <w:shd w:val="clear" w:color="auto" w:fill="FFFFFF"/>
                <w:lang w:val="uk-UA" w:eastAsia="uk-UA"/>
              </w:rPr>
              <w:t>о</w:t>
            </w:r>
            <w:r w:rsidR="0014102E" w:rsidRPr="004D2C73">
              <w:rPr>
                <w:spacing w:val="-4"/>
                <w:shd w:val="clear" w:color="auto" w:fill="FFFFFF"/>
                <w:lang w:val="uk-UA"/>
              </w:rPr>
              <w:t xml:space="preserve">рганізовує вивчення </w:t>
            </w:r>
            <w:r w:rsidR="00C87B14" w:rsidRPr="004D2C73">
              <w:rPr>
                <w:color w:val="000000"/>
                <w:lang w:val="uk-UA" w:eastAsia="uk-UA"/>
              </w:rPr>
              <w:t>причин та особливостей вчинення кримінальних корупційних правопорушень, поточних тенд</w:t>
            </w:r>
            <w:r w:rsidR="00C87B14" w:rsidRPr="004D2C73">
              <w:rPr>
                <w:spacing w:val="-4"/>
                <w:shd w:val="clear" w:color="auto" w:fill="FFFFFF"/>
                <w:lang w:val="uk-UA"/>
              </w:rPr>
              <w:t xml:space="preserve">енцій та недоліків у боротьбі з кримінальних корупційними правопорушеннями, </w:t>
            </w:r>
            <w:proofErr w:type="spellStart"/>
            <w:r w:rsidR="00F12AD9">
              <w:t>розробка</w:t>
            </w:r>
            <w:proofErr w:type="spellEnd"/>
            <w:r w:rsidR="00F12AD9" w:rsidRPr="00263FBF">
              <w:t xml:space="preserve"> </w:t>
            </w:r>
            <w:proofErr w:type="spellStart"/>
            <w:r w:rsidR="00F12AD9" w:rsidRPr="00263FBF">
              <w:t>пропозицій</w:t>
            </w:r>
            <w:proofErr w:type="spellEnd"/>
            <w:r w:rsidR="00F12AD9" w:rsidRPr="00263FBF">
              <w:t xml:space="preserve"> </w:t>
            </w:r>
            <w:proofErr w:type="spellStart"/>
            <w:r w:rsidR="00F12AD9" w:rsidRPr="00263FBF">
              <w:t>щодо</w:t>
            </w:r>
            <w:proofErr w:type="spellEnd"/>
            <w:r w:rsidR="00F12AD9" w:rsidRPr="00263FBF">
              <w:t xml:space="preserve"> </w:t>
            </w:r>
            <w:proofErr w:type="spellStart"/>
            <w:r w:rsidR="00F12AD9" w:rsidRPr="00263FBF">
              <w:t>удосконалення</w:t>
            </w:r>
            <w:proofErr w:type="spellEnd"/>
            <w:r w:rsidR="00F12AD9" w:rsidRPr="00263FBF">
              <w:t xml:space="preserve"> </w:t>
            </w:r>
            <w:proofErr w:type="spellStart"/>
            <w:r w:rsidR="00F12AD9" w:rsidRPr="00263FBF">
              <w:t>заходів</w:t>
            </w:r>
            <w:proofErr w:type="spellEnd"/>
            <w:r w:rsidR="00F12AD9" w:rsidRPr="00263FBF">
              <w:t xml:space="preserve"> </w:t>
            </w:r>
            <w:proofErr w:type="spellStart"/>
            <w:r w:rsidR="00F12AD9" w:rsidRPr="00263FBF">
              <w:t>попередження</w:t>
            </w:r>
            <w:proofErr w:type="spellEnd"/>
            <w:r w:rsidR="00F12AD9" w:rsidRPr="00263FBF">
              <w:t xml:space="preserve"> та </w:t>
            </w:r>
            <w:proofErr w:type="spellStart"/>
            <w:r w:rsidR="00F12AD9" w:rsidRPr="00263FBF">
              <w:t>протидії</w:t>
            </w:r>
            <w:proofErr w:type="spellEnd"/>
            <w:r w:rsidR="00F12AD9" w:rsidRPr="00263FBF">
              <w:t xml:space="preserve"> таким </w:t>
            </w:r>
            <w:proofErr w:type="spellStart"/>
            <w:r w:rsidR="00F12AD9" w:rsidRPr="00263FBF">
              <w:t>правопорушенням</w:t>
            </w:r>
            <w:proofErr w:type="spellEnd"/>
            <w:r w:rsidRPr="004D2C73">
              <w:rPr>
                <w:spacing w:val="-4"/>
                <w:shd w:val="clear" w:color="auto" w:fill="FFFFFF"/>
                <w:lang w:val="uk-UA" w:eastAsia="uk-UA"/>
              </w:rPr>
              <w:t>;</w:t>
            </w:r>
          </w:p>
          <w:p w:rsidR="008873ED" w:rsidRPr="004D2C73" w:rsidRDefault="008873ED" w:rsidP="00B440E4">
            <w:pPr>
              <w:pStyle w:val="a3"/>
              <w:numPr>
                <w:ilvl w:val="2"/>
                <w:numId w:val="16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D2C73">
              <w:rPr>
                <w:lang w:val="uk-UA"/>
              </w:rPr>
              <w:t>вносить на розгляд керівництва Управління п</w:t>
            </w:r>
            <w:r w:rsidRPr="004D2C73">
              <w:rPr>
                <w:spacing w:val="-4"/>
                <w:shd w:val="clear" w:color="auto" w:fill="FFFFFF"/>
                <w:lang w:val="uk-UA"/>
              </w:rPr>
              <w:t>ропозиції щодо впровадження та використання способів, методів, інструментів</w:t>
            </w:r>
            <w:r w:rsidRPr="004D2C73">
              <w:rPr>
                <w:b/>
                <w:spacing w:val="-4"/>
                <w:shd w:val="clear" w:color="auto" w:fill="FFFFFF"/>
                <w:lang w:val="uk-UA"/>
              </w:rPr>
              <w:t xml:space="preserve"> </w:t>
            </w:r>
            <w:r w:rsidRPr="004D2C73">
              <w:rPr>
                <w:color w:val="000000"/>
                <w:lang w:val="uk-UA" w:eastAsia="uk-UA"/>
              </w:rPr>
              <w:t xml:space="preserve">обробки та аналізу інформації, аналітичних систем, систем </w:t>
            </w:r>
            <w:proofErr w:type="spellStart"/>
            <w:r w:rsidRPr="004D2C73">
              <w:rPr>
                <w:spacing w:val="-4"/>
                <w:shd w:val="clear" w:color="auto" w:fill="FFFFFF"/>
                <w:lang w:val="uk-UA"/>
              </w:rPr>
              <w:t>рапортування</w:t>
            </w:r>
            <w:proofErr w:type="spellEnd"/>
            <w:r w:rsidRPr="004D2C73"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C87B14" w:rsidRPr="004D2C73" w:rsidRDefault="008873ED" w:rsidP="00B440E4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 w:eastAsia="uk-UA"/>
              </w:rPr>
              <w:t>о</w:t>
            </w:r>
            <w:r w:rsidR="0014102E" w:rsidRPr="004D2C73">
              <w:rPr>
                <w:lang w:val="uk-UA"/>
              </w:rPr>
              <w:t>рганізовує ефективну взаємодію із  державними органами та представниками приватного сектору</w:t>
            </w:r>
            <w:r w:rsidR="00C87B14" w:rsidRPr="004D2C73">
              <w:rPr>
                <w:lang w:val="uk-UA"/>
              </w:rPr>
              <w:t>;</w:t>
            </w:r>
          </w:p>
          <w:p w:rsidR="00C87B14" w:rsidRPr="004D2C73" w:rsidRDefault="008873ED" w:rsidP="00B440E4">
            <w:pPr>
              <w:pStyle w:val="a3"/>
              <w:numPr>
                <w:ilvl w:val="0"/>
                <w:numId w:val="15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lang w:val="uk-UA" w:eastAsia="uk-UA"/>
              </w:rPr>
            </w:pPr>
            <w:r w:rsidRPr="004D2C73">
              <w:rPr>
                <w:lang w:val="uk-UA" w:eastAsia="uk-UA"/>
              </w:rPr>
              <w:t xml:space="preserve">організовує </w:t>
            </w:r>
            <w:r w:rsidR="005C5CF4" w:rsidRPr="004D2C73">
              <w:rPr>
                <w:lang w:val="uk-UA" w:eastAsia="uk-UA"/>
              </w:rPr>
              <w:t>міжнародну співпрацю</w:t>
            </w:r>
            <w:r w:rsidR="00A455BA" w:rsidRPr="004D2C73">
              <w:rPr>
                <w:lang w:val="uk-UA" w:eastAsia="uk-UA"/>
              </w:rPr>
              <w:t>, в тому числі</w:t>
            </w:r>
            <w:r w:rsidR="00C87B14" w:rsidRPr="004D2C73">
              <w:rPr>
                <w:lang w:val="uk-UA" w:eastAsia="uk-UA"/>
              </w:rPr>
              <w:t xml:space="preserve"> з метою професійного навчання персоналу, обміну досвідом та імплементації кращих закордонних практик, </w:t>
            </w:r>
            <w:r w:rsidR="00C87B14" w:rsidRPr="004D2C73">
              <w:rPr>
                <w:lang w:val="uk-UA"/>
              </w:rPr>
              <w:t>бере участь у міжнародних заходах</w:t>
            </w:r>
            <w:r w:rsidRPr="004D2C73">
              <w:rPr>
                <w:lang w:val="uk-UA" w:eastAsia="uk-UA"/>
              </w:rPr>
              <w:t xml:space="preserve">; </w:t>
            </w:r>
          </w:p>
          <w:p w:rsidR="00F12AD9" w:rsidRPr="004D2C73" w:rsidRDefault="00F12AD9" w:rsidP="00F12AD9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4D2C73">
              <w:rPr>
                <w:color w:val="000000"/>
                <w:lang w:val="uk-UA" w:eastAsia="uk-UA"/>
              </w:rPr>
              <w:t xml:space="preserve">забезпечує взаємодію </w:t>
            </w:r>
            <w:r>
              <w:rPr>
                <w:color w:val="000000"/>
                <w:lang w:val="uk-UA" w:eastAsia="uk-UA"/>
              </w:rPr>
              <w:t>Відділу</w:t>
            </w:r>
            <w:r w:rsidRPr="004D2C73">
              <w:rPr>
                <w:color w:val="000000"/>
                <w:lang w:val="uk-UA" w:eastAsia="uk-UA"/>
              </w:rPr>
              <w:t xml:space="preserve"> з іншими структурними підрозділами</w:t>
            </w:r>
            <w:r>
              <w:rPr>
                <w:color w:val="000000"/>
                <w:lang w:val="uk-UA" w:eastAsia="uk-UA"/>
              </w:rPr>
              <w:t xml:space="preserve"> Управління та </w:t>
            </w:r>
            <w:r w:rsidRPr="003E22B4">
              <w:rPr>
                <w:lang w:val="uk-UA"/>
              </w:rPr>
              <w:t>Національного антикорупційного бюро України</w:t>
            </w:r>
            <w:r w:rsidRPr="004D2C73">
              <w:rPr>
                <w:color w:val="000000"/>
                <w:lang w:val="uk-UA" w:eastAsia="uk-UA"/>
              </w:rPr>
              <w:t>;</w:t>
            </w:r>
          </w:p>
          <w:p w:rsidR="00C87B14" w:rsidRPr="004D2C73" w:rsidRDefault="008873ED" w:rsidP="00B440E4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4D2C73">
              <w:rPr>
                <w:color w:val="000000"/>
                <w:lang w:val="uk-UA" w:eastAsia="uk-UA"/>
              </w:rPr>
              <w:t>з</w:t>
            </w:r>
            <w:r w:rsidR="00C87B14" w:rsidRPr="004D2C73">
              <w:rPr>
                <w:color w:val="000000"/>
                <w:lang w:val="uk-UA" w:eastAsia="uk-UA"/>
              </w:rPr>
              <w:t>абезпечує контроль за дотриманням службової дисципліни серед підлеглих</w:t>
            </w:r>
            <w:r w:rsidRPr="004D2C73">
              <w:rPr>
                <w:color w:val="000000"/>
                <w:lang w:val="uk-UA" w:eastAsia="uk-UA"/>
              </w:rPr>
              <w:t>;</w:t>
            </w:r>
          </w:p>
          <w:p w:rsidR="00C87B14" w:rsidRPr="004D2C73" w:rsidRDefault="008873ED" w:rsidP="00B440E4">
            <w:pPr>
              <w:pStyle w:val="a3"/>
              <w:numPr>
                <w:ilvl w:val="0"/>
                <w:numId w:val="15"/>
              </w:numPr>
              <w:shd w:val="clear" w:color="auto" w:fill="FFFFFF"/>
              <w:tabs>
                <w:tab w:val="left" w:pos="342"/>
                <w:tab w:val="left" w:pos="377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4D2C73">
              <w:rPr>
                <w:color w:val="000000"/>
                <w:lang w:val="uk-UA" w:eastAsia="uk-UA"/>
              </w:rPr>
              <w:t>п</w:t>
            </w:r>
            <w:r w:rsidR="00C87B14" w:rsidRPr="004D2C73">
              <w:rPr>
                <w:color w:val="000000"/>
                <w:lang w:val="uk-UA" w:eastAsia="uk-UA"/>
              </w:rPr>
              <w:t xml:space="preserve">риймає безпосередню участь в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5B1966">
            <w:pPr>
              <w:rPr>
                <w:lang w:val="uk-UA"/>
              </w:rPr>
            </w:pPr>
            <w:r w:rsidRPr="004D2C73">
              <w:rPr>
                <w:lang w:val="uk-UA"/>
              </w:rPr>
              <w:lastRenderedPageBreak/>
              <w:t>ІІ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Мінімальні загальні вимоги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5B1966">
            <w:pPr>
              <w:rPr>
                <w:lang w:val="uk-UA"/>
              </w:rPr>
            </w:pPr>
            <w:r w:rsidRPr="004D2C73">
              <w:rPr>
                <w:lang w:val="uk-UA"/>
              </w:rPr>
              <w:t>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022DE5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Спеціаліст. Магістр.</w:t>
            </w:r>
          </w:p>
        </w:tc>
      </w:tr>
      <w:tr w:rsidR="005C5CF4" w:rsidRPr="00491E8E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C87B14" w:rsidP="005B1966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t xml:space="preserve">1.2.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C87B14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Спеціальність за дипломом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9" w:rsidRPr="004E4626" w:rsidRDefault="00F12AD9" w:rsidP="00F12AD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>Повна вища освіта.</w:t>
            </w:r>
          </w:p>
          <w:p w:rsidR="00C87B14" w:rsidRPr="004D2C73" w:rsidRDefault="00F12AD9" w:rsidP="00F12AD9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E4626">
              <w:rPr>
                <w:lang w:val="uk-UA"/>
              </w:rPr>
              <w:t xml:space="preserve">Економічна </w:t>
            </w:r>
            <w:r>
              <w:rPr>
                <w:lang w:val="uk-UA"/>
              </w:rPr>
              <w:t xml:space="preserve">освіта </w:t>
            </w:r>
            <w:r w:rsidRPr="004E4626">
              <w:rPr>
                <w:lang w:val="uk-UA"/>
              </w:rPr>
              <w:t>(фінанси і кредит, банківська справа,  міжнародна економіка, економіка підприємства, облік і аудит, менеджмент зовнішньоекономічної діяльності, державне управління, економічна кібернетика).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5B1966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t>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1D3AE5">
            <w:pPr>
              <w:jc w:val="both"/>
              <w:rPr>
                <w:caps/>
                <w:lang w:val="uk-UA"/>
              </w:rPr>
            </w:pPr>
            <w:r w:rsidRPr="004D2C73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93" w:rsidRPr="004D2C73" w:rsidRDefault="002C2CAB" w:rsidP="002C2CAB">
            <w:pPr>
              <w:tabs>
                <w:tab w:val="left" w:pos="342"/>
                <w:tab w:val="num" w:pos="72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Стаж роботи на посадах у аудиторських компаніях та/або в підрозділах аудиту, ревізії, внутрішнього контролю, аналітики  фінансових установ та/або міжнародних компаній не менше трьох років.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F4" w:rsidRPr="004D2C73" w:rsidRDefault="005C5CF4" w:rsidP="005B1966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440E4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Спеціальні вимоги</w:t>
            </w:r>
          </w:p>
        </w:tc>
      </w:tr>
      <w:tr w:rsidR="00F12AD9" w:rsidRPr="00491E8E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9" w:rsidRPr="004D2C73" w:rsidRDefault="00F12AD9" w:rsidP="005B1966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lastRenderedPageBreak/>
              <w:t>2.1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9" w:rsidRPr="004D2C73" w:rsidRDefault="00F12AD9" w:rsidP="001D3AE5">
            <w:pPr>
              <w:jc w:val="both"/>
              <w:rPr>
                <w:caps/>
                <w:lang w:val="uk-UA"/>
              </w:rPr>
            </w:pPr>
            <w:r w:rsidRPr="004D2C73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D9" w:rsidRPr="0036673C" w:rsidRDefault="00F12AD9" w:rsidP="006D137A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«Економіст», «економіст-міжнародник», «фінансист», «бізнес-аналітик», «економічний кібернетик».</w:t>
            </w:r>
          </w:p>
        </w:tc>
      </w:tr>
      <w:tr w:rsidR="00F12AD9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9" w:rsidRPr="004D2C73" w:rsidRDefault="00F12AD9" w:rsidP="005B1966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9" w:rsidRPr="004D2C73" w:rsidRDefault="00F12AD9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Досвід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D9" w:rsidRPr="0036673C" w:rsidRDefault="00F94616" w:rsidP="00022DE5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36673C">
              <w:rPr>
                <w:lang w:val="uk-UA"/>
              </w:rPr>
              <w:t>Досвід роботи у фінансовій та економічній сферах</w:t>
            </w:r>
            <w:r>
              <w:rPr>
                <w:lang w:val="uk-UA"/>
              </w:rPr>
              <w:t xml:space="preserve"> (аудитор, ревізор, інспектор, бізнес-аналітик, ризик-аналітик),</w:t>
            </w:r>
            <w:r w:rsidRPr="0036673C">
              <w:rPr>
                <w:lang w:val="uk-UA"/>
              </w:rPr>
              <w:t xml:space="preserve"> в тому числі в державному або приватному секторі.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276F9">
            <w:pPr>
              <w:rPr>
                <w:caps/>
                <w:lang w:val="uk-UA"/>
              </w:rPr>
            </w:pPr>
            <w:r w:rsidRPr="004D2C73">
              <w:rPr>
                <w:lang w:val="uk-UA"/>
              </w:rPr>
              <w:br w:type="page"/>
            </w:r>
            <w:r w:rsidRPr="004D2C73">
              <w:rPr>
                <w:lang w:val="uk-UA"/>
              </w:rPr>
              <w:br w:type="page"/>
            </w:r>
            <w:r w:rsidRPr="004D2C73">
              <w:rPr>
                <w:caps/>
                <w:lang w:val="uk-UA"/>
              </w:rPr>
              <w:t>2.3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3F0F99" w:rsidP="001D3AE5">
            <w:pPr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знання нормативно-правових актів: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Конституція України;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державну службу»;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запобігання корупції»;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Податковий кодекс України; 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здійснення державних закупівель»;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Бюджетний кодекс України;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Митний кодекс України;</w:t>
            </w:r>
          </w:p>
          <w:p w:rsidR="0091462C" w:rsidRPr="004D2C73" w:rsidRDefault="00C87B14" w:rsidP="00E8456A">
            <w:pPr>
              <w:pStyle w:val="a3"/>
              <w:numPr>
                <w:ilvl w:val="0"/>
                <w:numId w:val="17"/>
              </w:numPr>
              <w:tabs>
                <w:tab w:val="left" w:pos="626"/>
              </w:tabs>
              <w:ind w:left="342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Закон України «Про об’єкти державного управління»;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методи збору та аналізу інформації, підготовки аналітичної документації;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розуміння принципів аналізу фінансово-господарської діяльності;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знання стандартів аудиту та регламентації бізнес-процесів;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методи і способи контролю виконання доручень;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порядок управління та організація діловодства;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основи психології та сучасні методи управління персоналом;</w:t>
            </w:r>
          </w:p>
          <w:p w:rsidR="00345B29" w:rsidRPr="00345B29" w:rsidRDefault="00345B29" w:rsidP="00345B29">
            <w:pPr>
              <w:pStyle w:val="a3"/>
              <w:numPr>
                <w:ilvl w:val="0"/>
                <w:numId w:val="10"/>
              </w:numPr>
              <w:tabs>
                <w:tab w:val="left" w:pos="297"/>
              </w:tabs>
              <w:ind w:left="0" w:firstLine="0"/>
              <w:jc w:val="both"/>
              <w:rPr>
                <w:lang w:val="uk-UA"/>
              </w:rPr>
            </w:pPr>
            <w:r w:rsidRPr="00345B29">
              <w:rPr>
                <w:lang w:val="uk-UA"/>
              </w:rPr>
              <w:t xml:space="preserve">знання комп’ютерної техніки та програмного забезпечення, </w:t>
            </w:r>
            <w:r w:rsidR="006C1584">
              <w:rPr>
                <w:lang w:val="uk-UA"/>
              </w:rPr>
              <w:t xml:space="preserve">користування СУБД, </w:t>
            </w:r>
            <w:r w:rsidRPr="00345B29">
              <w:rPr>
                <w:color w:val="000000"/>
                <w:kern w:val="24"/>
                <w:lang w:val="uk-UA"/>
              </w:rPr>
              <w:t xml:space="preserve">досвідчений користувач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Word</w:t>
            </w:r>
            <w:proofErr w:type="spellEnd"/>
            <w:r w:rsidRPr="00345B29">
              <w:rPr>
                <w:color w:val="000000"/>
                <w:kern w:val="24"/>
                <w:lang w:val="uk-UA"/>
              </w:rPr>
              <w:t xml:space="preserve">,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Excel</w:t>
            </w:r>
            <w:proofErr w:type="spellEnd"/>
            <w:r w:rsidRPr="00345B29">
              <w:rPr>
                <w:color w:val="000000"/>
                <w:kern w:val="24"/>
                <w:lang w:val="uk-UA"/>
              </w:rPr>
              <w:t xml:space="preserve">,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Visio</w:t>
            </w:r>
            <w:proofErr w:type="spellEnd"/>
            <w:r w:rsidRPr="00345B29">
              <w:rPr>
                <w:color w:val="000000"/>
                <w:kern w:val="24"/>
                <w:lang w:val="uk-UA"/>
              </w:rPr>
              <w:t xml:space="preserve">, </w:t>
            </w:r>
            <w:r w:rsidRPr="00772D64">
              <w:rPr>
                <w:color w:val="000000"/>
                <w:kern w:val="24"/>
              </w:rPr>
              <w:t>MS</w:t>
            </w:r>
            <w:r w:rsidRPr="00345B29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772D64">
              <w:rPr>
                <w:color w:val="000000"/>
                <w:kern w:val="24"/>
              </w:rPr>
              <w:t>PowerPoint</w:t>
            </w:r>
            <w:proofErr w:type="spellEnd"/>
            <w:r w:rsidRPr="00345B29">
              <w:rPr>
                <w:lang w:val="uk-UA"/>
              </w:rPr>
              <w:t>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досконале знання державної мови;</w:t>
            </w:r>
          </w:p>
          <w:p w:rsidR="00345B29" w:rsidRDefault="00345B29" w:rsidP="00345B29">
            <w:pPr>
              <w:pStyle w:val="a3"/>
              <w:numPr>
                <w:ilvl w:val="0"/>
                <w:numId w:val="10"/>
              </w:numPr>
              <w:tabs>
                <w:tab w:val="left" w:pos="297"/>
              </w:tabs>
              <w:ind w:left="0" w:firstLine="0"/>
              <w:jc w:val="both"/>
              <w:rPr>
                <w:lang w:val="uk-UA"/>
              </w:rPr>
            </w:pPr>
            <w:r w:rsidRPr="00345B29">
              <w:rPr>
                <w:lang w:val="uk-UA"/>
              </w:rPr>
              <w:t xml:space="preserve">знання англійської мови на рівні не нижче </w:t>
            </w:r>
            <w:r>
              <w:rPr>
                <w:lang w:val="en-US"/>
              </w:rPr>
              <w:t>Upper</w:t>
            </w:r>
            <w:r w:rsidRPr="00345B29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345B29">
              <w:rPr>
                <w:lang w:val="uk-UA"/>
              </w:rPr>
              <w:t xml:space="preserve"> (додаткове знання інших іноземних мов);</w:t>
            </w:r>
          </w:p>
          <w:p w:rsidR="005C5CF4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276F9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t>2.4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1D3AE5">
            <w:pPr>
              <w:ind w:right="-3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2C" w:rsidRPr="004D2C73" w:rsidRDefault="00C87B14" w:rsidP="00B440E4">
            <w:pPr>
              <w:tabs>
                <w:tab w:val="left" w:pos="342"/>
              </w:tabs>
              <w:jc w:val="both"/>
              <w:rPr>
                <w:b/>
                <w:lang w:val="uk-UA"/>
              </w:rPr>
            </w:pPr>
            <w:r w:rsidRPr="004D2C73">
              <w:rPr>
                <w:b/>
                <w:lang w:val="uk-UA"/>
              </w:rPr>
              <w:t>Управлінські компетенції: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визначити і ухвалювати організаційні та управлінські рішення</w:t>
            </w:r>
            <w:r w:rsidR="0091462C" w:rsidRPr="004D2C73">
              <w:rPr>
                <w:lang w:val="uk-UA"/>
              </w:rPr>
              <w:t>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визначати пріоритети, ставити та досягати поставлені цілі (завдання)</w:t>
            </w:r>
            <w:r w:rsidR="0091462C" w:rsidRPr="004D2C73">
              <w:rPr>
                <w:lang w:val="uk-UA"/>
              </w:rPr>
              <w:t>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ефективно, в залежності від потреб, знаходити, розміщувати та використовувати ресурси, розподіляти завдання (навички проектного менеджера);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lastRenderedPageBreak/>
              <w:t>вміння мотивувати та підвищувати кваліфікацію персоналу;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контролювати ефективність діяльності, систематично відстежувати, збирати і обробляти інформацію про хід виконання завдань, використання ресурсів та дотримання термінів.</w:t>
            </w:r>
          </w:p>
          <w:p w:rsidR="0091462C" w:rsidRPr="004D2C73" w:rsidRDefault="0091462C" w:rsidP="00B440E4">
            <w:pPr>
              <w:pStyle w:val="a6"/>
              <w:tabs>
                <w:tab w:val="left" w:pos="342"/>
              </w:tabs>
              <w:spacing w:before="0" w:beforeAutospacing="0" w:after="0" w:afterAutospacing="0"/>
              <w:jc w:val="both"/>
              <w:rPr>
                <w:rFonts w:eastAsia="Calibri"/>
                <w:b/>
                <w:lang w:eastAsia="en-US"/>
              </w:rPr>
            </w:pPr>
            <w:r w:rsidRPr="004D2C73">
              <w:rPr>
                <w:rFonts w:eastAsia="Calibri"/>
                <w:b/>
                <w:lang w:eastAsia="en-US"/>
              </w:rPr>
              <w:t>Функціональні компетенції: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аналізувати та систематично і ретельно перевіряти інформацію;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вміння логічно міркувати, знаходити аргументи, докази, давати пояснення, </w:t>
            </w:r>
            <w:r w:rsidR="001D3AE5" w:rsidRPr="004D2C73">
              <w:rPr>
                <w:lang w:val="uk-UA"/>
              </w:rPr>
              <w:t>порівнювати</w:t>
            </w:r>
            <w:r w:rsidRPr="004D2C73">
              <w:rPr>
                <w:lang w:val="uk-UA"/>
              </w:rPr>
              <w:t xml:space="preserve"> та інтегрувати великі обсяги інформації, робити висновки;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всебічно вивчати ситуації, визначати, перевіряти та деталізувати проблеми;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розробляти конкретні пропозиції відповідно до вимог законодавства України та міжнародних стандартів;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передбачати інтереси, надавати вичерпні відповіді, презентувати досвід, досліджувати ситуації;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створювати ефективні робочі відносини та ефективно взаємодіяти з колегами, з метою досягнення розуміння і підтримки на шляху реалізації цілей організації, розробки політики та прийняття спільного рішення; </w:t>
            </w:r>
          </w:p>
          <w:p w:rsidR="0091462C" w:rsidRPr="004D2C73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обирати та погоджувати найкращі об’єктивні та неупереджені рішення або альтернативні варіанти досягнення поставленої мети, шляхом аналізу, прогнозування та оцінки ситуації і проблем, що її спричинили;</w:t>
            </w:r>
          </w:p>
          <w:p w:rsidR="005C5CF4" w:rsidRDefault="00C87B14" w:rsidP="00B440E4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вміння використовувати комп’ютерну техніку та програмне забезпечення</w:t>
            </w:r>
            <w:r w:rsidR="008D0D57">
              <w:rPr>
                <w:lang w:val="uk-UA"/>
              </w:rPr>
              <w:t>;</w:t>
            </w:r>
          </w:p>
          <w:p w:rsidR="008D0D57" w:rsidRPr="004D2C73" w:rsidRDefault="008D0D57" w:rsidP="008D0D57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8D0D57">
              <w:rPr>
                <w:lang w:val="uk-UA"/>
              </w:rPr>
              <w:t xml:space="preserve">рактичний досвід у вивченні, систематизації та консолідації </w:t>
            </w:r>
            <w:proofErr w:type="spellStart"/>
            <w:r w:rsidRPr="008D0D57">
              <w:rPr>
                <w:lang w:val="uk-UA"/>
              </w:rPr>
              <w:t>різнонаправлених</w:t>
            </w:r>
            <w:proofErr w:type="spellEnd"/>
            <w:r w:rsidRPr="008D0D57">
              <w:rPr>
                <w:lang w:val="uk-UA"/>
              </w:rPr>
              <w:t xml:space="preserve"> даних.</w:t>
            </w:r>
          </w:p>
        </w:tc>
      </w:tr>
      <w:tr w:rsidR="005C5CF4" w:rsidRPr="00491E8E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B276F9">
            <w:pPr>
              <w:rPr>
                <w:caps/>
                <w:lang w:val="uk-UA"/>
              </w:rPr>
            </w:pPr>
            <w:r w:rsidRPr="004D2C73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F4" w:rsidRPr="004D2C73" w:rsidRDefault="00C87B14" w:rsidP="001D3AE5">
            <w:pPr>
              <w:ind w:right="-3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B8" w:rsidRDefault="00C753B8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C753B8">
              <w:rPr>
                <w:lang w:val="uk-UA"/>
              </w:rPr>
              <w:t>навчання за кордоном (ВНЗ країн-членів ЄС та/або США)</w:t>
            </w:r>
            <w:r>
              <w:rPr>
                <w:lang w:val="uk-UA"/>
              </w:rPr>
              <w:t>;</w:t>
            </w:r>
          </w:p>
          <w:p w:rsidR="005C5CF4" w:rsidRPr="004D2C73" w:rsidRDefault="00C87B1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лідерські якості;</w:t>
            </w:r>
          </w:p>
          <w:p w:rsidR="005C5CF4" w:rsidRDefault="00C87B1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 xml:space="preserve">організаторські здібності; </w:t>
            </w:r>
          </w:p>
          <w:p w:rsidR="006C1584" w:rsidRPr="006C1584" w:rsidRDefault="006C158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6C1584">
              <w:rPr>
                <w:lang w:val="uk-UA"/>
              </w:rPr>
              <w:t>аналітичні здібності;</w:t>
            </w:r>
          </w:p>
          <w:p w:rsidR="005C5CF4" w:rsidRPr="004D2C73" w:rsidRDefault="00C87B1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6C1584" w:rsidRPr="006C1584" w:rsidRDefault="006C158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6C1584">
              <w:rPr>
                <w:lang w:val="uk-UA"/>
              </w:rPr>
              <w:t>системне мислення;</w:t>
            </w:r>
          </w:p>
          <w:p w:rsidR="006C1584" w:rsidRPr="006C1584" w:rsidRDefault="006C158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6C1584">
              <w:rPr>
                <w:lang w:val="uk-UA"/>
              </w:rPr>
              <w:t>логічність мислення;</w:t>
            </w:r>
          </w:p>
          <w:p w:rsidR="005C5CF4" w:rsidRPr="004D2C73" w:rsidRDefault="00C87B1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добре розвинена пам'ять;</w:t>
            </w:r>
          </w:p>
          <w:p w:rsidR="005C5CF4" w:rsidRPr="004D2C73" w:rsidRDefault="00C87B1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інтелектуальна та емоційна зрілість;</w:t>
            </w:r>
          </w:p>
          <w:p w:rsidR="005C5CF4" w:rsidRPr="004D2C73" w:rsidRDefault="00C87B1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комунікабельність;</w:t>
            </w:r>
          </w:p>
          <w:p w:rsidR="005C5CF4" w:rsidRPr="004D2C73" w:rsidRDefault="00C87B1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5C5CF4" w:rsidRPr="004D2C73" w:rsidRDefault="00C87B1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lastRenderedPageBreak/>
              <w:t>позитивна репутація;</w:t>
            </w:r>
          </w:p>
          <w:p w:rsidR="0091462C" w:rsidRPr="004D2C73" w:rsidRDefault="00C87B1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91462C" w:rsidRPr="004D2C73" w:rsidRDefault="00C87B1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неупередженість та об’єктивність;</w:t>
            </w:r>
          </w:p>
          <w:p w:rsidR="00345B29" w:rsidRDefault="00C87B14" w:rsidP="00BB56DB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стійкість до стресу</w:t>
            </w:r>
            <w:r w:rsidR="00345B29">
              <w:rPr>
                <w:lang w:val="uk-UA"/>
              </w:rPr>
              <w:t>;</w:t>
            </w:r>
            <w:r w:rsidR="00345B29" w:rsidRPr="004D2C73">
              <w:rPr>
                <w:lang w:val="uk-UA"/>
              </w:rPr>
              <w:t xml:space="preserve"> </w:t>
            </w:r>
          </w:p>
          <w:p w:rsidR="00C753B8" w:rsidRPr="00C753B8" w:rsidRDefault="00345B29" w:rsidP="00C753B8">
            <w:pPr>
              <w:pStyle w:val="a3"/>
              <w:numPr>
                <w:ilvl w:val="0"/>
                <w:numId w:val="10"/>
              </w:numPr>
              <w:tabs>
                <w:tab w:val="left" w:pos="342"/>
              </w:tabs>
              <w:ind w:left="0" w:firstLine="0"/>
              <w:jc w:val="both"/>
              <w:rPr>
                <w:lang w:val="uk-UA"/>
              </w:rPr>
            </w:pPr>
            <w:r w:rsidRPr="004D2C73">
              <w:rPr>
                <w:lang w:val="uk-UA"/>
              </w:rPr>
              <w:t>здатність постійно критично аналізувати кінцеву ефективність, стиль та методи власної організаційно-управлінської діяльності і знаходити шл</w:t>
            </w:r>
            <w:r>
              <w:rPr>
                <w:lang w:val="uk-UA"/>
              </w:rPr>
              <w:t>яхи її подальшого вдосконалення</w:t>
            </w:r>
            <w:r w:rsidR="00C753B8">
              <w:rPr>
                <w:lang w:val="uk-UA"/>
              </w:rPr>
              <w:t>.</w:t>
            </w:r>
          </w:p>
        </w:tc>
      </w:tr>
      <w:tr w:rsidR="005C5CF4" w:rsidRPr="004D2C73" w:rsidTr="00F12AD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F4" w:rsidRPr="00022DE5" w:rsidRDefault="00C87B14" w:rsidP="005B1966">
            <w:pPr>
              <w:rPr>
                <w:caps/>
                <w:lang w:val="uk-UA"/>
              </w:rPr>
            </w:pPr>
            <w:r w:rsidRPr="00022DE5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CF4" w:rsidRPr="00022DE5" w:rsidRDefault="00C87B14" w:rsidP="001D3AE5">
            <w:pPr>
              <w:jc w:val="both"/>
              <w:rPr>
                <w:lang w:val="uk-UA"/>
              </w:rPr>
            </w:pPr>
            <w:r w:rsidRPr="00022DE5">
              <w:rPr>
                <w:lang w:val="uk-UA"/>
              </w:rPr>
              <w:t>Посадовий оклад* (грн.)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CF4" w:rsidRPr="004D2C73" w:rsidRDefault="00C87B14" w:rsidP="00B440E4">
            <w:pPr>
              <w:tabs>
                <w:tab w:val="left" w:pos="342"/>
              </w:tabs>
              <w:jc w:val="center"/>
              <w:rPr>
                <w:lang w:val="uk-UA"/>
              </w:rPr>
            </w:pPr>
            <w:r w:rsidRPr="00022DE5">
              <w:rPr>
                <w:lang w:val="uk-UA"/>
              </w:rPr>
              <w:t>29232,00</w:t>
            </w:r>
          </w:p>
        </w:tc>
      </w:tr>
    </w:tbl>
    <w:p w:rsidR="005C5CF4" w:rsidRPr="004D2C73" w:rsidRDefault="005C5CF4" w:rsidP="005C5CF4">
      <w:pPr>
        <w:rPr>
          <w:lang w:val="uk-UA"/>
        </w:rPr>
      </w:pPr>
    </w:p>
    <w:p w:rsidR="005C5CF4" w:rsidRPr="004D2C73" w:rsidRDefault="005C5CF4" w:rsidP="005C5CF4">
      <w:pPr>
        <w:rPr>
          <w:lang w:val="uk-UA"/>
        </w:rPr>
      </w:pPr>
      <w:r w:rsidRPr="004D2C73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5C5CF4" w:rsidRPr="004D2C73" w:rsidRDefault="005C5CF4" w:rsidP="005C5CF4">
      <w:pPr>
        <w:rPr>
          <w:lang w:val="uk-UA"/>
        </w:rPr>
      </w:pPr>
    </w:p>
    <w:p w:rsidR="005C5CF4" w:rsidRPr="004D2C73" w:rsidRDefault="005C5CF4" w:rsidP="005C5CF4">
      <w:pPr>
        <w:rPr>
          <w:lang w:val="uk-UA"/>
        </w:rPr>
      </w:pPr>
    </w:p>
    <w:p w:rsidR="000A6F5C" w:rsidRPr="004D2C73" w:rsidRDefault="000A6F5C">
      <w:pPr>
        <w:rPr>
          <w:lang w:val="uk-UA"/>
        </w:rPr>
      </w:pPr>
    </w:p>
    <w:sectPr w:rsidR="000A6F5C" w:rsidRPr="004D2C73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E03"/>
    <w:multiLevelType w:val="hybridMultilevel"/>
    <w:tmpl w:val="3F6A5272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2A60"/>
    <w:multiLevelType w:val="multilevel"/>
    <w:tmpl w:val="29922184"/>
    <w:lvl w:ilvl="0">
      <w:start w:val="3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  <w:rPr>
        <w:rFonts w:cs="Times New Roman" w:hint="default"/>
      </w:rPr>
    </w:lvl>
  </w:abstractNum>
  <w:abstractNum w:abstractNumId="2">
    <w:nsid w:val="0ED95E38"/>
    <w:multiLevelType w:val="hybridMultilevel"/>
    <w:tmpl w:val="939EB1D2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B2E12"/>
    <w:multiLevelType w:val="hybridMultilevel"/>
    <w:tmpl w:val="558EB0E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6B0509"/>
    <w:multiLevelType w:val="hybridMultilevel"/>
    <w:tmpl w:val="AB44FC94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2E227748"/>
    <w:multiLevelType w:val="hybridMultilevel"/>
    <w:tmpl w:val="C4E401F8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402A5F02"/>
    <w:multiLevelType w:val="hybridMultilevel"/>
    <w:tmpl w:val="37AE677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A17A3"/>
    <w:multiLevelType w:val="hybridMultilevel"/>
    <w:tmpl w:val="15002384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F4A4E"/>
    <w:multiLevelType w:val="hybridMultilevel"/>
    <w:tmpl w:val="3580EE7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4A00770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E3807"/>
    <w:multiLevelType w:val="hybridMultilevel"/>
    <w:tmpl w:val="E3CA3DE6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4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3E5A15"/>
    <w:multiLevelType w:val="hybridMultilevel"/>
    <w:tmpl w:val="2C0C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5"/>
  </w:num>
  <w:num w:numId="5">
    <w:abstractNumId w:val="15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4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CF4"/>
    <w:rsid w:val="000039A1"/>
    <w:rsid w:val="00003C48"/>
    <w:rsid w:val="00022DE5"/>
    <w:rsid w:val="000A6F5C"/>
    <w:rsid w:val="0014102E"/>
    <w:rsid w:val="00147C9E"/>
    <w:rsid w:val="001D3AE5"/>
    <w:rsid w:val="002C2CAB"/>
    <w:rsid w:val="003212E3"/>
    <w:rsid w:val="00345B29"/>
    <w:rsid w:val="00354703"/>
    <w:rsid w:val="003C0417"/>
    <w:rsid w:val="003F0F99"/>
    <w:rsid w:val="0042207D"/>
    <w:rsid w:val="00483698"/>
    <w:rsid w:val="00491E8E"/>
    <w:rsid w:val="004D2C73"/>
    <w:rsid w:val="0053210E"/>
    <w:rsid w:val="005654D1"/>
    <w:rsid w:val="00595EA6"/>
    <w:rsid w:val="005C5CF4"/>
    <w:rsid w:val="006048C1"/>
    <w:rsid w:val="00673A44"/>
    <w:rsid w:val="00675A23"/>
    <w:rsid w:val="006A2ADC"/>
    <w:rsid w:val="006C1584"/>
    <w:rsid w:val="007061B8"/>
    <w:rsid w:val="00797924"/>
    <w:rsid w:val="007B3E7F"/>
    <w:rsid w:val="007D2817"/>
    <w:rsid w:val="007D7A37"/>
    <w:rsid w:val="00864E3D"/>
    <w:rsid w:val="00866AA4"/>
    <w:rsid w:val="008873ED"/>
    <w:rsid w:val="008D0D57"/>
    <w:rsid w:val="00900100"/>
    <w:rsid w:val="0091462C"/>
    <w:rsid w:val="00931E3E"/>
    <w:rsid w:val="009E1818"/>
    <w:rsid w:val="00A03F55"/>
    <w:rsid w:val="00A44493"/>
    <w:rsid w:val="00A455BA"/>
    <w:rsid w:val="00AC0F5D"/>
    <w:rsid w:val="00AD0A80"/>
    <w:rsid w:val="00B276F9"/>
    <w:rsid w:val="00B440E4"/>
    <w:rsid w:val="00B6131B"/>
    <w:rsid w:val="00BA152D"/>
    <w:rsid w:val="00BB56DB"/>
    <w:rsid w:val="00BB5D3F"/>
    <w:rsid w:val="00C753B8"/>
    <w:rsid w:val="00C87B14"/>
    <w:rsid w:val="00CC68EC"/>
    <w:rsid w:val="00CD7919"/>
    <w:rsid w:val="00DC7D3E"/>
    <w:rsid w:val="00DD4AA9"/>
    <w:rsid w:val="00E40293"/>
    <w:rsid w:val="00E66B55"/>
    <w:rsid w:val="00E8456A"/>
    <w:rsid w:val="00EF622D"/>
    <w:rsid w:val="00F12AD9"/>
    <w:rsid w:val="00F615C2"/>
    <w:rsid w:val="00F9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CF4"/>
    <w:pPr>
      <w:ind w:left="720"/>
      <w:contextualSpacing/>
    </w:pPr>
  </w:style>
  <w:style w:type="character" w:customStyle="1" w:styleId="apple-converted-space">
    <w:name w:val="apple-converted-space"/>
    <w:basedOn w:val="a0"/>
    <w:rsid w:val="005C5CF4"/>
  </w:style>
  <w:style w:type="paragraph" w:styleId="a4">
    <w:name w:val="header"/>
    <w:basedOn w:val="a"/>
    <w:link w:val="a5"/>
    <w:uiPriority w:val="99"/>
    <w:unhideWhenUsed/>
    <w:rsid w:val="009146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1462C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455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5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dcterms:created xsi:type="dcterms:W3CDTF">2015-07-27T20:58:00Z</dcterms:created>
  <dcterms:modified xsi:type="dcterms:W3CDTF">2015-08-03T10:26:00Z</dcterms:modified>
</cp:coreProperties>
</file>