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32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ПРОФІЛЬ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BA5051" w:rsidRDefault="00DC1ECA" w:rsidP="00D71D1C">
      <w:pPr>
        <w:jc w:val="center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Старший детектив</w:t>
      </w:r>
      <w:r w:rsidR="00A001D5" w:rsidRPr="0036673C">
        <w:rPr>
          <w:b/>
          <w:i/>
          <w:sz w:val="28"/>
          <w:szCs w:val="28"/>
          <w:lang w:val="uk-UA"/>
        </w:rPr>
        <w:t xml:space="preserve"> </w:t>
      </w:r>
      <w:r w:rsidR="00BA5051">
        <w:rPr>
          <w:b/>
          <w:i/>
          <w:sz w:val="28"/>
          <w:szCs w:val="28"/>
          <w:lang w:val="uk-UA"/>
        </w:rPr>
        <w:t>В</w:t>
      </w:r>
      <w:r w:rsidR="00BA5051" w:rsidRPr="004D2C73">
        <w:rPr>
          <w:b/>
          <w:i/>
          <w:sz w:val="28"/>
          <w:szCs w:val="28"/>
          <w:lang w:val="uk-UA"/>
        </w:rPr>
        <w:t xml:space="preserve">ідділу </w:t>
      </w:r>
      <w:r w:rsidR="00BA5051">
        <w:rPr>
          <w:b/>
          <w:i/>
          <w:sz w:val="28"/>
          <w:szCs w:val="28"/>
          <w:lang w:val="uk-UA"/>
        </w:rPr>
        <w:t>детективів по виявленню</w:t>
      </w:r>
      <w:r w:rsidR="00BA5051" w:rsidRPr="00345B29">
        <w:rPr>
          <w:b/>
          <w:i/>
          <w:sz w:val="28"/>
          <w:szCs w:val="28"/>
          <w:lang w:val="uk-UA"/>
        </w:rPr>
        <w:t xml:space="preserve"> </w:t>
      </w:r>
      <w:r w:rsidR="00BA5051">
        <w:rPr>
          <w:b/>
          <w:i/>
          <w:sz w:val="28"/>
          <w:szCs w:val="28"/>
          <w:lang w:val="uk-UA"/>
        </w:rPr>
        <w:t>неправомірної вигоди та незаконного збагачення</w:t>
      </w:r>
      <w:r w:rsidR="00EE3CB3">
        <w:rPr>
          <w:b/>
          <w:i/>
          <w:sz w:val="28"/>
          <w:szCs w:val="28"/>
          <w:lang w:val="uk-UA"/>
        </w:rPr>
        <w:t xml:space="preserve"> </w:t>
      </w:r>
      <w:r w:rsidR="00D71D1C" w:rsidRPr="0036673C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  <w:r w:rsidR="00D71D1C" w:rsidRPr="0036673C">
        <w:rPr>
          <w:b/>
          <w:sz w:val="28"/>
          <w:szCs w:val="28"/>
          <w:lang w:val="uk-UA"/>
        </w:rPr>
        <w:t xml:space="preserve"> </w:t>
      </w:r>
    </w:p>
    <w:p w:rsidR="00D71D1C" w:rsidRPr="0036673C" w:rsidRDefault="00D71D1C" w:rsidP="00D71D1C">
      <w:pPr>
        <w:jc w:val="center"/>
        <w:rPr>
          <w:b/>
          <w:sz w:val="28"/>
          <w:szCs w:val="28"/>
          <w:lang w:val="uk-UA"/>
        </w:rPr>
      </w:pPr>
      <w:r w:rsidRPr="0036673C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71D1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Look w:val="04A0"/>
      </w:tblPr>
      <w:tblGrid>
        <w:gridCol w:w="4608"/>
        <w:gridCol w:w="4963"/>
      </w:tblGrid>
      <w:tr w:rsidR="008F447B" w:rsidRPr="006B5EA2" w:rsidTr="00A02006">
        <w:tc>
          <w:tcPr>
            <w:tcW w:w="4608" w:type="dxa"/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F447B" w:rsidRPr="006B5EA2" w:rsidRDefault="008F447B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8F447B" w:rsidRPr="006B5EA2" w:rsidTr="00A02006">
        <w:tc>
          <w:tcPr>
            <w:tcW w:w="4608" w:type="dxa"/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8F447B" w:rsidRPr="006B5EA2" w:rsidRDefault="008F447B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8F447B" w:rsidRPr="00BA5051" w:rsidTr="00A02006">
        <w:tc>
          <w:tcPr>
            <w:tcW w:w="4608" w:type="dxa"/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8F447B" w:rsidRPr="00BA5051" w:rsidTr="00A02006">
        <w:tc>
          <w:tcPr>
            <w:tcW w:w="4608" w:type="dxa"/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F447B" w:rsidRPr="006B5EA2" w:rsidRDefault="008F447B" w:rsidP="00A02006">
            <w:pPr>
              <w:rPr>
                <w:lang w:val="uk-UA"/>
              </w:rPr>
            </w:pPr>
          </w:p>
        </w:tc>
      </w:tr>
      <w:tr w:rsidR="008F447B" w:rsidRPr="006B5EA2" w:rsidTr="00A02006">
        <w:tc>
          <w:tcPr>
            <w:tcW w:w="4608" w:type="dxa"/>
            <w:shd w:val="clear" w:color="auto" w:fill="auto"/>
          </w:tcPr>
          <w:p w:rsidR="008F447B" w:rsidRPr="006B5EA2" w:rsidRDefault="008F447B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8F447B" w:rsidRPr="006B5EA2" w:rsidRDefault="008F447B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8F447B" w:rsidRPr="0036673C" w:rsidRDefault="008F447B" w:rsidP="00D71D1C">
      <w:pPr>
        <w:jc w:val="center"/>
        <w:rPr>
          <w:bCs/>
          <w:lang w:val="uk-UA"/>
        </w:rPr>
      </w:pPr>
    </w:p>
    <w:p w:rsidR="00D71D1C" w:rsidRPr="0036673C" w:rsidRDefault="00D71D1C" w:rsidP="00D71D1C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b/>
                <w:bCs/>
                <w:lang w:val="uk-UA"/>
              </w:rPr>
            </w:pPr>
            <w:r w:rsidRPr="0036673C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Національне антикорупційне бюро України</w:t>
            </w:r>
          </w:p>
        </w:tc>
      </w:tr>
      <w:tr w:rsidR="00BA5051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51" w:rsidRPr="0036673C" w:rsidRDefault="00BA5051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1" w:rsidRPr="0036673C" w:rsidRDefault="00BA5051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51" w:rsidRPr="004D2C73" w:rsidRDefault="00BA5051" w:rsidP="00E44F2F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753B8">
              <w:rPr>
                <w:bCs/>
                <w:lang w:val="uk-UA"/>
              </w:rPr>
              <w:t xml:space="preserve">Відділ детективів по виявленню </w:t>
            </w:r>
            <w:r>
              <w:rPr>
                <w:bCs/>
                <w:lang w:val="uk-UA"/>
              </w:rPr>
              <w:t>неправомірної вигоди та незаконного збагачення</w:t>
            </w:r>
            <w:r w:rsidRPr="00C753B8">
              <w:rPr>
                <w:bCs/>
                <w:lang w:val="uk-UA"/>
              </w:rPr>
              <w:t xml:space="preserve"> Управління аналітики та обробки інформації</w:t>
            </w:r>
            <w:r w:rsidRPr="004D2C73">
              <w:rPr>
                <w:lang w:val="uk-UA"/>
              </w:rPr>
              <w:t xml:space="preserve">   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C1ECA" w:rsidP="00BA6EA0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C1ECA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Попередження та виявлення </w:t>
            </w:r>
            <w:proofErr w:type="spellStart"/>
            <w:r>
              <w:t>кримінальних</w:t>
            </w:r>
            <w:proofErr w:type="spellEnd"/>
            <w:r>
              <w:t xml:space="preserve"> </w:t>
            </w:r>
            <w:r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D5" w:rsidRPr="00C117D5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інформації (даних), направлених на виявлення 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 w:rsidR="00BA5051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 w:rsidR="00BA5051">
              <w:rPr>
                <w:rFonts w:ascii="Times New Roman" w:hAnsi="Times New Roman"/>
                <w:sz w:val="24"/>
                <w:szCs w:val="24"/>
              </w:rPr>
              <w:t>их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051"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</w:t>
            </w:r>
            <w:r w:rsidR="00C117D5" w:rsidRPr="00C11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117D5" w:rsidRPr="00BA5051">
              <w:rPr>
                <w:rFonts w:ascii="Times New Roman" w:hAnsi="Times New Roman"/>
                <w:sz w:val="24"/>
                <w:szCs w:val="24"/>
              </w:rPr>
              <w:t>отримання доказів наявності</w:t>
            </w:r>
            <w:r w:rsidR="00C117D5"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події та складу кримінального правопорушення, встановлення</w:t>
            </w:r>
            <w:r w:rsid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місця знаходження осіб, що вчинили правопорушення, та кримінальних активів</w:t>
            </w:r>
            <w:r w:rsidR="00C117D5" w:rsidRPr="00C11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1ECA" w:rsidRPr="00C117D5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7D5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інформації (даних) на предмет виявлення ознак 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>неправомірної вигоди та незаконного збагачення</w:t>
            </w:r>
            <w:r w:rsidR="00BA5051">
              <w:rPr>
                <w:rFonts w:ascii="Times New Roman" w:hAnsi="Times New Roman"/>
                <w:sz w:val="24"/>
                <w:szCs w:val="24"/>
              </w:rPr>
              <w:t xml:space="preserve"> осіб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>, уповноважен</w:t>
            </w:r>
            <w:r w:rsidR="00BA5051">
              <w:rPr>
                <w:rFonts w:ascii="Times New Roman" w:hAnsi="Times New Roman"/>
                <w:sz w:val="24"/>
                <w:szCs w:val="24"/>
              </w:rPr>
              <w:t>их</w:t>
            </w:r>
            <w:r w:rsidR="00BA5051" w:rsidRPr="00BA5051">
              <w:rPr>
                <w:rFonts w:ascii="Times New Roman" w:hAnsi="Times New Roman"/>
                <w:sz w:val="24"/>
                <w:szCs w:val="24"/>
              </w:rPr>
              <w:t xml:space="preserve"> на виконання функцій держави або місцевого самоврядування,</w:t>
            </w:r>
            <w:r w:rsidR="00BA5051" w:rsidRPr="00C11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051">
              <w:rPr>
                <w:rFonts w:ascii="Times New Roman" w:hAnsi="Times New Roman"/>
                <w:sz w:val="24"/>
                <w:szCs w:val="24"/>
              </w:rPr>
              <w:t>кримінальні корупційні правопорушення яких віднесено</w:t>
            </w:r>
            <w:r w:rsidR="00BA5051" w:rsidRPr="00C117D5">
              <w:rPr>
                <w:rFonts w:ascii="Times New Roman" w:hAnsi="Times New Roman"/>
                <w:sz w:val="24"/>
                <w:szCs w:val="24"/>
              </w:rPr>
              <w:t xml:space="preserve"> до підслідності Національного антикорупційного бюро України,</w:t>
            </w:r>
            <w:r w:rsidRPr="00C117D5">
              <w:rPr>
                <w:rFonts w:ascii="Times New Roman" w:hAnsi="Times New Roman"/>
                <w:sz w:val="24"/>
                <w:szCs w:val="24"/>
              </w:rPr>
              <w:t xml:space="preserve"> формування </w:t>
            </w:r>
            <w:r w:rsidRPr="00C117D5">
              <w:rPr>
                <w:rFonts w:ascii="Times New Roman" w:hAnsi="Times New Roman"/>
                <w:sz w:val="24"/>
                <w:szCs w:val="24"/>
              </w:rPr>
              <w:lastRenderedPageBreak/>
              <w:t>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C117D5" w:rsidRDefault="00C117D5" w:rsidP="00C117D5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щодо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ування оперативно-розшукових та оперативно-технічних заходів по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оперативно-розшуков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ій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і, 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досудового розслідування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кримінальному провадженню</w:t>
            </w:r>
            <w:r w:rsidRPr="006B5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також окремих слідчих чи (розшукових) дій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надання консультативної підтримки детективам </w:t>
            </w:r>
            <w:r w:rsidRPr="00B044F0">
              <w:rPr>
                <w:rFonts w:ascii="Times New Roman" w:hAnsi="Times New Roman"/>
                <w:sz w:val="24"/>
                <w:szCs w:val="24"/>
              </w:rPr>
              <w:t>Національного антикорупційного бюро 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досудового розслідування по кримінальному провадженню;</w:t>
            </w:r>
          </w:p>
          <w:p w:rsidR="00DC1ECA" w:rsidRPr="00263FBF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 xml:space="preserve">розробка та впровадження критеріїв ризику та ознак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кримінальних корупційних 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>правопорушень у сфері виконання функцій держави або місцевого самоврядування;</w:t>
            </w:r>
          </w:p>
          <w:p w:rsidR="00DC1ECA" w:rsidRPr="0036673C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вивчення причин та особливостей вчинення кримінальних корупційних правопорушень, поточних тенденцій та недоліків у боротьбі з </w:t>
            </w:r>
            <w:r>
              <w:rPr>
                <w:rFonts w:ascii="Times New Roman" w:hAnsi="Times New Roman"/>
                <w:sz w:val="24"/>
                <w:szCs w:val="24"/>
              </w:rPr>
              <w:t>такими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 правопорушеннями, </w:t>
            </w: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263FBF">
              <w:rPr>
                <w:rFonts w:ascii="Times New Roman" w:hAnsi="Times New Roman"/>
                <w:sz w:val="24"/>
                <w:szCs w:val="24"/>
              </w:rPr>
              <w:t xml:space="preserve"> пропозицій щодо удосконалення заходів попередження та протидії таким правопорушенням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1ECA" w:rsidRPr="004E4626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розробка,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впровадження та використання способів, методів, інструментів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збору,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обробки та аналізу інформації про кримінальні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корупційні 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>правопорушення;</w:t>
            </w:r>
          </w:p>
          <w:p w:rsidR="00DC1ECA" w:rsidRDefault="00DC1ECA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пропозиці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4E4626">
              <w:rPr>
                <w:rFonts w:ascii="Times New Roman" w:hAnsi="Times New Roman"/>
                <w:sz w:val="24"/>
                <w:szCs w:val="24"/>
              </w:rPr>
              <w:t xml:space="preserve"> щодо впровадження та використання аналітичних систем, систем </w:t>
            </w:r>
            <w:proofErr w:type="spellStart"/>
            <w:r w:rsidRPr="004E4626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4E46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7451" w:rsidRPr="0036673C" w:rsidRDefault="00822F6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м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і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 xml:space="preserve">жвідомчій та </w:t>
            </w:r>
            <w:r w:rsidR="003929BE" w:rsidRPr="0036673C">
              <w:rPr>
                <w:rFonts w:ascii="Times New Roman" w:hAnsi="Times New Roman"/>
                <w:sz w:val="24"/>
                <w:szCs w:val="24"/>
              </w:rPr>
              <w:t>міжнародній взаємодії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F4119" w:rsidRPr="0036673C" w:rsidRDefault="003929BE" w:rsidP="00EE3CB3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вн</w:t>
            </w:r>
            <w:r w:rsidR="00AF7451" w:rsidRPr="0036673C">
              <w:rPr>
                <w:rFonts w:ascii="Times New Roman" w:hAnsi="Times New Roman"/>
                <w:sz w:val="24"/>
                <w:szCs w:val="24"/>
              </w:rPr>
              <w:t>е</w:t>
            </w: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сення 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>на розгляд керівництва Відділу пропозиці</w:t>
            </w:r>
            <w:r w:rsidR="00484B06">
              <w:rPr>
                <w:rFonts w:ascii="Times New Roman" w:hAnsi="Times New Roman"/>
                <w:sz w:val="24"/>
                <w:szCs w:val="24"/>
              </w:rPr>
              <w:t>й</w:t>
            </w:r>
            <w:r w:rsidR="00822F6F" w:rsidRPr="0036673C">
              <w:rPr>
                <w:rFonts w:ascii="Times New Roman" w:hAnsi="Times New Roman"/>
                <w:sz w:val="24"/>
                <w:szCs w:val="24"/>
              </w:rPr>
              <w:t xml:space="preserve"> щодо вдосконалення роботи Відділу.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Мінімальні загальні вимоги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DC1ECA" w:rsidRPr="00BA5051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CA" w:rsidRPr="0036673C" w:rsidRDefault="00DC1ECA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1.2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CA" w:rsidRPr="0036673C" w:rsidRDefault="00DC1ECA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Освіта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ECA" w:rsidRPr="004E4626" w:rsidRDefault="00DC1ECA" w:rsidP="00BA6EA0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DC1ECA" w:rsidRPr="00872580" w:rsidRDefault="00DC1ECA" w:rsidP="00BA6EA0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3140EF" w:rsidP="003140EF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Стаж роботи на посадах у аудиторських компаніях</w:t>
            </w:r>
            <w:r>
              <w:rPr>
                <w:lang w:val="uk-UA"/>
              </w:rPr>
              <w:t xml:space="preserve"> та/або в підрозділах аудиту, ревізії, внутрішнього контролю, аналітики  </w:t>
            </w:r>
            <w:r>
              <w:rPr>
                <w:lang w:val="uk-UA"/>
              </w:rPr>
              <w:lastRenderedPageBreak/>
              <w:t xml:space="preserve">фінансових установ та/або міжнародних компаній </w:t>
            </w:r>
            <w:r w:rsidRPr="0036673C">
              <w:rPr>
                <w:lang w:val="uk-UA"/>
              </w:rPr>
              <w:t xml:space="preserve">не менше </w:t>
            </w:r>
            <w:r>
              <w:rPr>
                <w:lang w:val="uk-UA"/>
              </w:rPr>
              <w:t>двох</w:t>
            </w:r>
            <w:r w:rsidRPr="0036673C">
              <w:rPr>
                <w:lang w:val="uk-UA"/>
              </w:rPr>
              <w:t xml:space="preserve"> рок</w:t>
            </w:r>
            <w:r>
              <w:rPr>
                <w:lang w:val="uk-UA"/>
              </w:rPr>
              <w:t>ів</w:t>
            </w:r>
            <w:r w:rsidRPr="0036673C">
              <w:rPr>
                <w:lang w:val="uk-UA"/>
              </w:rPr>
              <w:t>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1C" w:rsidRPr="0036673C" w:rsidRDefault="00D71D1C" w:rsidP="0036673C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Спеціальні вимоги</w:t>
            </w:r>
          </w:p>
        </w:tc>
      </w:tr>
      <w:tr w:rsidR="0097545D" w:rsidRPr="00BA5051" w:rsidTr="00861133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36673C">
            <w:pPr>
              <w:jc w:val="both"/>
              <w:rPr>
                <w:caps/>
                <w:lang w:val="uk-UA"/>
              </w:rPr>
            </w:pPr>
            <w:r w:rsidRPr="0036673C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97545D" w:rsidP="00BA6EA0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D71D1C" w:rsidRPr="0036673C" w:rsidTr="00D71D1C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EF" w:rsidRDefault="003140EF" w:rsidP="003140EF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ревізор, інспектор, бізнес-аналітик, ризик-аналітик),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  <w:p w:rsidR="00D71D1C" w:rsidRPr="0036673C" w:rsidRDefault="00D71D1C" w:rsidP="00EE3CB3">
            <w:pPr>
              <w:tabs>
                <w:tab w:val="left" w:pos="312"/>
              </w:tabs>
              <w:jc w:val="both"/>
              <w:rPr>
                <w:lang w:val="uk-UA"/>
              </w:rPr>
            </w:pP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lang w:val="uk-UA"/>
              </w:rPr>
              <w:br w:type="page"/>
            </w:r>
            <w:r w:rsidRPr="0036673C">
              <w:rPr>
                <w:lang w:val="uk-UA"/>
              </w:rPr>
              <w:br w:type="page"/>
            </w: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45D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нормативно-правових актів</w:t>
            </w:r>
            <w:r w:rsidR="0097545D" w:rsidRPr="003667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Конституція України: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здійснення державних закупівель»;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8"/>
              </w:numPr>
              <w:tabs>
                <w:tab w:val="left" w:pos="779"/>
              </w:tabs>
              <w:spacing w:after="0" w:line="240" w:lineRule="auto"/>
              <w:ind w:left="354" w:firstLine="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Закон України «Про об’єкти державного управління»;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29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D71D1C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t>2.</w:t>
            </w:r>
            <w:r w:rsidR="0097545D" w:rsidRPr="0036673C">
              <w:rPr>
                <w:caps/>
                <w:lang w:val="uk-UA"/>
              </w:rPr>
              <w:t>4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25" w:rsidRPr="0036673C" w:rsidRDefault="00F048D8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</w:t>
            </w:r>
            <w:r w:rsidR="00A001D5" w:rsidRPr="0036673C">
              <w:rPr>
                <w:rFonts w:ascii="Times New Roman" w:hAnsi="Times New Roman"/>
                <w:sz w:val="24"/>
                <w:szCs w:val="24"/>
              </w:rPr>
              <w:t xml:space="preserve">олодіння методами збору та аналізу </w:t>
            </w:r>
            <w:r w:rsidR="005B6A25" w:rsidRPr="0036673C">
              <w:rPr>
                <w:rFonts w:ascii="Times New Roman" w:hAnsi="Times New Roman"/>
                <w:sz w:val="24"/>
                <w:szCs w:val="24"/>
              </w:rPr>
              <w:t>вміння аналізувати та систематично і ретельно перевіряти і аналізувати інформацію;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lastRenderedPageBreak/>
              <w:t>оцінювати позитивні та негативні сторони знайденої/отриманої інформації;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5B6A25" w:rsidRPr="0036673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D71D1C" w:rsidRDefault="005B6A25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3C">
              <w:rPr>
                <w:rFonts w:ascii="Times New Roman" w:hAnsi="Times New Roman"/>
                <w:sz w:val="24"/>
                <w:szCs w:val="24"/>
              </w:rPr>
              <w:t>вміння використовувати комп’ютерну техніку та програмне забезпечення</w:t>
            </w:r>
            <w:r w:rsidR="00EE3C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3CB3" w:rsidRPr="0036673C" w:rsidRDefault="00EE3CB3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 xml:space="preserve">практичний досвід у вивченні, систематизації та консолідації </w:t>
            </w:r>
            <w:proofErr w:type="spellStart"/>
            <w:r w:rsidRPr="00EE3CB3">
              <w:rPr>
                <w:rFonts w:ascii="Times New Roman" w:hAnsi="Times New Roman"/>
                <w:sz w:val="24"/>
                <w:szCs w:val="24"/>
              </w:rPr>
              <w:t>різнонаправлених</w:t>
            </w:r>
            <w:proofErr w:type="spellEnd"/>
            <w:r w:rsidRPr="00EE3CB3">
              <w:rPr>
                <w:rFonts w:ascii="Times New Roman" w:hAnsi="Times New Roman"/>
                <w:sz w:val="24"/>
                <w:szCs w:val="24"/>
              </w:rPr>
              <w:t xml:space="preserve"> даних.</w:t>
            </w:r>
          </w:p>
        </w:tc>
      </w:tr>
      <w:tr w:rsidR="00D71D1C" w:rsidRPr="0036673C" w:rsidTr="00D71D1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caps/>
                <w:lang w:val="uk-UA"/>
              </w:rPr>
            </w:pPr>
            <w:r w:rsidRPr="0036673C">
              <w:rPr>
                <w:caps/>
                <w:lang w:val="uk-UA"/>
              </w:rPr>
              <w:lastRenderedPageBreak/>
              <w:t>2.</w:t>
            </w:r>
            <w:r w:rsidR="0097545D" w:rsidRPr="0036673C">
              <w:rPr>
                <w:caps/>
                <w:lang w:val="uk-UA"/>
              </w:rPr>
              <w:t>5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1C" w:rsidRPr="0036673C" w:rsidRDefault="00D71D1C" w:rsidP="0036673C">
            <w:pPr>
              <w:rPr>
                <w:lang w:val="uk-UA"/>
              </w:rPr>
            </w:pPr>
            <w:r w:rsidRPr="0036673C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B3" w:rsidRPr="00EE3CB3" w:rsidRDefault="00EE3CB3" w:rsidP="00EE3CB3">
            <w:pPr>
              <w:pStyle w:val="a4"/>
              <w:numPr>
                <w:ilvl w:val="0"/>
                <w:numId w:val="15"/>
              </w:numPr>
              <w:tabs>
                <w:tab w:val="left" w:pos="3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CB3">
              <w:rPr>
                <w:rFonts w:ascii="Times New Roman" w:hAnsi="Times New Roman"/>
                <w:sz w:val="24"/>
                <w:szCs w:val="24"/>
              </w:rPr>
              <w:t>навчання за кордоном (ВНЗ країн-членів ЄС та/або США);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6A2C7F" w:rsidRPr="00872580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6A2C7F" w:rsidRPr="00872580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2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580">
              <w:rPr>
                <w:rFonts w:ascii="Times New Roman" w:hAnsi="Times New Roman"/>
                <w:sz w:val="24"/>
                <w:szCs w:val="24"/>
              </w:rPr>
              <w:t xml:space="preserve">інтуїція; 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6A2C7F" w:rsidRPr="006A2C7F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7A1786" w:rsidRPr="0036673C" w:rsidRDefault="006A2C7F" w:rsidP="00BA6EA0">
            <w:pPr>
              <w:pStyle w:val="a4"/>
              <w:numPr>
                <w:ilvl w:val="0"/>
                <w:numId w:val="15"/>
              </w:numPr>
              <w:tabs>
                <w:tab w:val="left" w:pos="312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7F">
              <w:rPr>
                <w:rFonts w:ascii="Times New Roman" w:hAnsi="Times New Roman"/>
                <w:sz w:val="24"/>
                <w:szCs w:val="24"/>
              </w:rPr>
              <w:t>стійкість до стресу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71D1C" w:rsidRPr="0036673C" w:rsidTr="00EE3CB3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EE3CB3" w:rsidRDefault="00D71D1C" w:rsidP="0036673C">
            <w:pPr>
              <w:rPr>
                <w:caps/>
                <w:lang w:val="uk-UA"/>
              </w:rPr>
            </w:pPr>
            <w:r w:rsidRPr="00EE3CB3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EE3CB3" w:rsidRDefault="00D71D1C" w:rsidP="0036673C">
            <w:pPr>
              <w:rPr>
                <w:lang w:val="uk-UA"/>
              </w:rPr>
            </w:pPr>
            <w:r w:rsidRPr="00EE3CB3">
              <w:rPr>
                <w:lang w:val="uk-UA"/>
              </w:rPr>
              <w:t>Посадовий оклад* (грн.)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D1C" w:rsidRPr="0036673C" w:rsidRDefault="00ED60A6" w:rsidP="00CF594D">
            <w:pPr>
              <w:tabs>
                <w:tab w:val="left" w:pos="312"/>
              </w:tabs>
              <w:jc w:val="center"/>
              <w:rPr>
                <w:lang w:val="uk-UA"/>
              </w:rPr>
            </w:pPr>
            <w:r w:rsidRPr="00EE3CB3">
              <w:rPr>
                <w:lang w:val="en-US"/>
              </w:rPr>
              <w:t>32155</w:t>
            </w:r>
            <w:r w:rsidR="005556F0" w:rsidRPr="00EE3CB3">
              <w:rPr>
                <w:lang w:val="uk-UA"/>
              </w:rPr>
              <w:t>,00</w:t>
            </w:r>
          </w:p>
        </w:tc>
      </w:tr>
    </w:tbl>
    <w:p w:rsidR="00D71D1C" w:rsidRPr="0036673C" w:rsidRDefault="00D71D1C" w:rsidP="00D71D1C">
      <w:pPr>
        <w:rPr>
          <w:lang w:val="uk-UA"/>
        </w:rPr>
      </w:pPr>
    </w:p>
    <w:p w:rsidR="00D71D1C" w:rsidRPr="0036673C" w:rsidRDefault="00D71D1C" w:rsidP="00D71D1C">
      <w:pPr>
        <w:rPr>
          <w:lang w:val="uk-UA"/>
        </w:rPr>
      </w:pPr>
      <w:r w:rsidRPr="0036673C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D71D1C" w:rsidRPr="0036673C" w:rsidRDefault="00D71D1C" w:rsidP="00D71D1C">
      <w:pPr>
        <w:rPr>
          <w:lang w:val="uk-UA"/>
        </w:rPr>
      </w:pPr>
    </w:p>
    <w:p w:rsidR="000A6F5C" w:rsidRPr="0036673C" w:rsidRDefault="000A6F5C">
      <w:pPr>
        <w:rPr>
          <w:lang w:val="uk-UA"/>
        </w:rPr>
      </w:pPr>
    </w:p>
    <w:sectPr w:rsidR="000A6F5C" w:rsidRPr="0036673C" w:rsidSect="0047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1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75C6"/>
    <w:multiLevelType w:val="hybridMultilevel"/>
    <w:tmpl w:val="07325910"/>
    <w:lvl w:ilvl="0" w:tplc="D73CA5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98D1A2D"/>
    <w:multiLevelType w:val="hybridMultilevel"/>
    <w:tmpl w:val="86340E6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F7397D"/>
    <w:multiLevelType w:val="hybridMultilevel"/>
    <w:tmpl w:val="43DCA9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D1C"/>
    <w:rsid w:val="0000478B"/>
    <w:rsid w:val="00014B7C"/>
    <w:rsid w:val="0007728A"/>
    <w:rsid w:val="000A332F"/>
    <w:rsid w:val="000A6F5C"/>
    <w:rsid w:val="000F6594"/>
    <w:rsid w:val="001D2527"/>
    <w:rsid w:val="001F223C"/>
    <w:rsid w:val="00220B79"/>
    <w:rsid w:val="00285B02"/>
    <w:rsid w:val="003140EF"/>
    <w:rsid w:val="0036673C"/>
    <w:rsid w:val="003929BE"/>
    <w:rsid w:val="0047586F"/>
    <w:rsid w:val="00484B06"/>
    <w:rsid w:val="00486D80"/>
    <w:rsid w:val="004E1F2A"/>
    <w:rsid w:val="005556F0"/>
    <w:rsid w:val="005768D2"/>
    <w:rsid w:val="00583262"/>
    <w:rsid w:val="00587E32"/>
    <w:rsid w:val="005B6A25"/>
    <w:rsid w:val="00682A51"/>
    <w:rsid w:val="006A2C7F"/>
    <w:rsid w:val="006A635F"/>
    <w:rsid w:val="006F18FB"/>
    <w:rsid w:val="0071337A"/>
    <w:rsid w:val="007A1786"/>
    <w:rsid w:val="007B3401"/>
    <w:rsid w:val="00822F6F"/>
    <w:rsid w:val="008460F5"/>
    <w:rsid w:val="0089493A"/>
    <w:rsid w:val="008F447B"/>
    <w:rsid w:val="00963FF6"/>
    <w:rsid w:val="0097545D"/>
    <w:rsid w:val="009A1E01"/>
    <w:rsid w:val="00A001D5"/>
    <w:rsid w:val="00A17970"/>
    <w:rsid w:val="00AB0592"/>
    <w:rsid w:val="00AF7451"/>
    <w:rsid w:val="00BA5051"/>
    <w:rsid w:val="00BA6A08"/>
    <w:rsid w:val="00BA6EA0"/>
    <w:rsid w:val="00C117D5"/>
    <w:rsid w:val="00CA6609"/>
    <w:rsid w:val="00CC6993"/>
    <w:rsid w:val="00CD7B94"/>
    <w:rsid w:val="00CF4119"/>
    <w:rsid w:val="00CF594D"/>
    <w:rsid w:val="00D44BF2"/>
    <w:rsid w:val="00D71D1C"/>
    <w:rsid w:val="00DC1ECA"/>
    <w:rsid w:val="00E27F4C"/>
    <w:rsid w:val="00ED60A6"/>
    <w:rsid w:val="00EE3CB3"/>
    <w:rsid w:val="00F048D8"/>
    <w:rsid w:val="00F3265B"/>
    <w:rsid w:val="00FB423C"/>
    <w:rsid w:val="00FC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D71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D71D1C"/>
    <w:pPr>
      <w:spacing w:before="100" w:beforeAutospacing="1" w:after="100" w:afterAutospacing="1"/>
    </w:pPr>
    <w:rPr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822F6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22F6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6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dcterms:created xsi:type="dcterms:W3CDTF">2015-07-27T20:20:00Z</dcterms:created>
  <dcterms:modified xsi:type="dcterms:W3CDTF">2015-08-03T10:26:00Z</dcterms:modified>
</cp:coreProperties>
</file>