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3" w:rsidRPr="00B037F1" w:rsidRDefault="008650A3" w:rsidP="00A72EC3">
      <w:pPr>
        <w:jc w:val="center"/>
        <w:rPr>
          <w:b/>
          <w:sz w:val="28"/>
          <w:szCs w:val="28"/>
          <w:lang w:val="uk-UA"/>
        </w:rPr>
      </w:pPr>
    </w:p>
    <w:p w:rsidR="006D1B38" w:rsidRPr="00B037F1" w:rsidRDefault="00BA2B0A" w:rsidP="00A72EC3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ПРОФІЛЬ ПОСАДИ</w:t>
      </w:r>
    </w:p>
    <w:p w:rsidR="006D1B38" w:rsidRPr="00B037F1" w:rsidRDefault="00E651CC" w:rsidP="00AD3C10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«</w:t>
      </w:r>
      <w:r w:rsidR="00CC3682">
        <w:rPr>
          <w:b/>
          <w:sz w:val="28"/>
          <w:szCs w:val="28"/>
          <w:lang w:val="uk-UA"/>
        </w:rPr>
        <w:t>Головний спеціаліст в</w:t>
      </w:r>
      <w:bookmarkStart w:id="0" w:name="_GoBack"/>
      <w:bookmarkEnd w:id="0"/>
      <w:r w:rsidR="000F44A1" w:rsidRPr="00B037F1">
        <w:rPr>
          <w:b/>
          <w:sz w:val="28"/>
          <w:szCs w:val="28"/>
          <w:lang w:val="uk-UA"/>
        </w:rPr>
        <w:t xml:space="preserve">ідділу проектування, розвитку та супроводу ІТ-систем </w:t>
      </w:r>
      <w:r w:rsidR="00201E1F" w:rsidRPr="00B037F1">
        <w:rPr>
          <w:b/>
          <w:sz w:val="28"/>
          <w:szCs w:val="28"/>
          <w:lang w:val="uk-UA"/>
        </w:rPr>
        <w:t>Управління інформаційних технологій</w:t>
      </w:r>
      <w:r w:rsidR="00D3542E" w:rsidRPr="00B037F1">
        <w:rPr>
          <w:b/>
          <w:sz w:val="28"/>
          <w:szCs w:val="28"/>
          <w:lang w:val="uk-UA"/>
        </w:rPr>
        <w:t>»</w:t>
      </w:r>
    </w:p>
    <w:p w:rsidR="006D1B38" w:rsidRPr="00B037F1" w:rsidRDefault="006D1B38" w:rsidP="00A72EC3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B037F1" w:rsidRDefault="006D1B38" w:rsidP="00A72EC3">
      <w:pPr>
        <w:jc w:val="center"/>
        <w:rPr>
          <w:bCs/>
          <w:lang w:val="uk-UA"/>
        </w:rPr>
      </w:pPr>
    </w:p>
    <w:p w:rsidR="00A61CA8" w:rsidRPr="00B037F1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DC627C" w:rsidRPr="00B037F1" w:rsidTr="003C5B4E">
        <w:trPr>
          <w:trHeight w:val="530"/>
        </w:trPr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DC627C" w:rsidRPr="00B037F1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C627C" w:rsidRPr="00B037F1" w:rsidTr="00DC627C"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DC627C" w:rsidRPr="00B037F1" w:rsidRDefault="00DC627C" w:rsidP="003C5B4E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3C5B4E"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Семен КРИВОНОС</w:t>
            </w:r>
          </w:p>
        </w:tc>
      </w:tr>
      <w:tr w:rsidR="00DC627C" w:rsidRPr="00B037F1" w:rsidTr="00DC627C"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DC627C" w:rsidRPr="00B037F1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D1B38" w:rsidRPr="00B037F1" w:rsidTr="00DC627C">
        <w:trPr>
          <w:trHeight w:val="460"/>
        </w:trPr>
        <w:tc>
          <w:tcPr>
            <w:tcW w:w="4641" w:type="dxa"/>
          </w:tcPr>
          <w:p w:rsidR="006D1B38" w:rsidRPr="00B037F1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3C5B4E" w:rsidRPr="00B037F1" w:rsidRDefault="003C5B4E" w:rsidP="00B518DD">
            <w:pPr>
              <w:rPr>
                <w:lang w:val="uk-UA"/>
              </w:rPr>
            </w:pPr>
          </w:p>
          <w:p w:rsidR="006D1B38" w:rsidRPr="00B037F1" w:rsidRDefault="00263401" w:rsidP="00955B05">
            <w:pPr>
              <w:rPr>
                <w:lang w:val="uk-UA"/>
              </w:rPr>
            </w:pPr>
            <w:r w:rsidRPr="00B037F1">
              <w:rPr>
                <w:lang w:val="uk-UA"/>
              </w:rPr>
              <w:t>«</w:t>
            </w:r>
            <w:r w:rsidR="00DD273C">
              <w:rPr>
                <w:lang w:val="uk-UA"/>
              </w:rPr>
              <w:t>12</w:t>
            </w:r>
            <w:r w:rsidRPr="00B037F1">
              <w:rPr>
                <w:lang w:val="uk-UA"/>
              </w:rPr>
              <w:t xml:space="preserve">» </w:t>
            </w:r>
            <w:r w:rsidR="00724B02">
              <w:rPr>
                <w:lang w:val="uk-UA"/>
              </w:rPr>
              <w:t>березня</w:t>
            </w:r>
            <w:r w:rsidR="00B71EC5" w:rsidRPr="00B037F1">
              <w:rPr>
                <w:lang w:val="uk-UA"/>
              </w:rPr>
              <w:t xml:space="preserve"> </w:t>
            </w:r>
            <w:r w:rsidR="00844882" w:rsidRPr="00B037F1">
              <w:rPr>
                <w:lang w:val="uk-UA"/>
              </w:rPr>
              <w:t>20</w:t>
            </w:r>
            <w:r w:rsidR="007938CD" w:rsidRPr="00B037F1">
              <w:rPr>
                <w:lang w:val="uk-UA"/>
              </w:rPr>
              <w:t>2</w:t>
            </w:r>
            <w:r w:rsidR="00F3372E" w:rsidRPr="00B037F1">
              <w:rPr>
                <w:lang w:val="uk-UA"/>
              </w:rPr>
              <w:t>4</w:t>
            </w:r>
            <w:r w:rsidR="005349D4" w:rsidRPr="00B037F1">
              <w:rPr>
                <w:lang w:val="uk-UA"/>
              </w:rPr>
              <w:t xml:space="preserve"> </w:t>
            </w:r>
            <w:r w:rsidRPr="00B037F1">
              <w:rPr>
                <w:lang w:val="uk-UA"/>
              </w:rPr>
              <w:t>р</w:t>
            </w:r>
            <w:r w:rsidR="00C03164" w:rsidRPr="00B037F1">
              <w:rPr>
                <w:lang w:val="uk-UA"/>
              </w:rPr>
              <w:t>оку</w:t>
            </w:r>
          </w:p>
        </w:tc>
      </w:tr>
    </w:tbl>
    <w:p w:rsidR="00B02900" w:rsidRPr="00B037F1" w:rsidRDefault="00B02900" w:rsidP="00A72EC3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6D1B38" w:rsidRPr="00B037F1" w:rsidTr="00553E53">
        <w:tc>
          <w:tcPr>
            <w:tcW w:w="830" w:type="dxa"/>
          </w:tcPr>
          <w:p w:rsidR="006D1B38" w:rsidRPr="00B037F1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 w:rsidRPr="00B037F1">
              <w:rPr>
                <w:b/>
                <w:bCs/>
                <w:lang w:val="uk-UA"/>
              </w:rPr>
              <w:t xml:space="preserve">   </w:t>
            </w:r>
            <w:r w:rsidR="006D1B38" w:rsidRPr="00B037F1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2"/>
          </w:tcPr>
          <w:p w:rsidR="006D1B38" w:rsidRPr="00B037F1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B037F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6D1B38" w:rsidRPr="00B037F1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B037F1">
              <w:rPr>
                <w:lang w:val="uk-UA"/>
              </w:rPr>
              <w:t>Національне антикорупційне бюро України</w:t>
            </w:r>
            <w:r w:rsidR="003E46C7" w:rsidRPr="00B037F1">
              <w:rPr>
                <w:lang w:val="uk-UA"/>
              </w:rPr>
              <w:t xml:space="preserve"> </w:t>
            </w:r>
            <w:r w:rsidR="00553E53" w:rsidRPr="00B037F1">
              <w:rPr>
                <w:lang w:val="uk-UA"/>
              </w:rPr>
              <w:t xml:space="preserve">                                   </w:t>
            </w:r>
            <w:r w:rsidR="003E46C7" w:rsidRPr="00B037F1">
              <w:rPr>
                <w:lang w:val="uk-UA"/>
              </w:rPr>
              <w:t>(далі – Н</w:t>
            </w:r>
            <w:r w:rsidR="002E3731" w:rsidRPr="00B037F1">
              <w:rPr>
                <w:lang w:val="uk-UA"/>
              </w:rPr>
              <w:t>аціональне бюро</w:t>
            </w:r>
            <w:r w:rsidR="003E46C7" w:rsidRPr="00B037F1">
              <w:rPr>
                <w:lang w:val="uk-UA"/>
              </w:rPr>
              <w:t>)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724B02" w:rsidRDefault="00724B02" w:rsidP="00724B02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Відділ</w:t>
            </w:r>
            <w:r w:rsidRPr="00B037F1">
              <w:rPr>
                <w:lang w:val="uk-UA"/>
              </w:rPr>
              <w:t xml:space="preserve"> проектування, розвитку та супроводу ІТ-систем Управління інформаційних технологій</w:t>
            </w:r>
            <w:r>
              <w:rPr>
                <w:lang w:val="uk-UA"/>
              </w:rPr>
              <w:t xml:space="preserve"> </w:t>
            </w:r>
          </w:p>
          <w:p w:rsidR="006D1B38" w:rsidRPr="00B037F1" w:rsidRDefault="006D1B38" w:rsidP="00724B02">
            <w:pPr>
              <w:tabs>
                <w:tab w:val="left" w:pos="342"/>
              </w:tabs>
              <w:jc w:val="both"/>
              <w:rPr>
                <w:lang w:val="uk-UA"/>
              </w:rPr>
            </w:pPr>
          </w:p>
        </w:tc>
      </w:tr>
      <w:tr w:rsidR="006D1B38" w:rsidRPr="00B037F1" w:rsidTr="00724B02">
        <w:trPr>
          <w:trHeight w:val="331"/>
        </w:trPr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6D1B38" w:rsidRPr="00B037F1" w:rsidRDefault="000F44A1" w:rsidP="00724B02">
            <w:pPr>
              <w:jc w:val="both"/>
              <w:rPr>
                <w:bCs/>
                <w:lang w:val="uk-UA"/>
              </w:rPr>
            </w:pPr>
            <w:r w:rsidRPr="00B037F1">
              <w:rPr>
                <w:lang w:val="uk-UA"/>
              </w:rPr>
              <w:t xml:space="preserve">Головний спеціаліст </w:t>
            </w:r>
          </w:p>
        </w:tc>
      </w:tr>
      <w:tr w:rsidR="006E5B7E" w:rsidRPr="00B037F1" w:rsidTr="009C623C">
        <w:tc>
          <w:tcPr>
            <w:tcW w:w="830" w:type="dxa"/>
          </w:tcPr>
          <w:p w:rsidR="006E5B7E" w:rsidRPr="00B037F1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B037F1" w:rsidRDefault="006E5B7E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6E5B7E" w:rsidRPr="00B037F1" w:rsidRDefault="00D3542E" w:rsidP="00E71454">
            <w:pPr>
              <w:rPr>
                <w:lang w:val="uk-UA"/>
              </w:rPr>
            </w:pPr>
            <w:r w:rsidRPr="00B037F1">
              <w:rPr>
                <w:lang w:val="uk-UA"/>
              </w:rPr>
              <w:t>«</w:t>
            </w:r>
            <w:r w:rsidR="000F44A1" w:rsidRPr="00B037F1">
              <w:rPr>
                <w:lang w:val="uk-UA"/>
              </w:rPr>
              <w:t>В</w:t>
            </w:r>
            <w:r w:rsidRPr="00B037F1">
              <w:rPr>
                <w:lang w:val="uk-UA"/>
              </w:rPr>
              <w:t>»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955B05" w:rsidRPr="002303DE" w:rsidRDefault="00955B05" w:rsidP="00955B0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955B05" w:rsidRDefault="00955B05" w:rsidP="00955B0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архітектурою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9D482F" w:rsidRPr="00955B05" w:rsidRDefault="00955B05" w:rsidP="00955B0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55B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ІТ-</w:t>
            </w:r>
            <w:proofErr w:type="spellStart"/>
            <w:r w:rsidRPr="00955B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проєктами</w:t>
            </w:r>
            <w:proofErr w:type="spellEnd"/>
            <w:r w:rsidRPr="00955B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955B05" w:rsidRDefault="00955B05" w:rsidP="00955B0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систем, організація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участь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тестуванні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систем, супров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 введення в дослідну та пос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тійн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експлуатацію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-систем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955B05" w:rsidRDefault="00955B05" w:rsidP="00955B0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Розробка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управління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підтримка архітектури даних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955B05" w:rsidRDefault="00955B05" w:rsidP="00955B0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Технологічна побудова сховищ даних, системи електронних довідників даних, вітрин даних, автоматизованих інструментів обробки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шаблонів звітів;</w:t>
            </w:r>
          </w:p>
          <w:p w:rsidR="00955B05" w:rsidRPr="007F4504" w:rsidRDefault="00955B05" w:rsidP="00955B0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7F4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7F4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розробка та впровадження автоматизованих механізмів для збору, завантаження, консолідації та очищення даних із зовнішніх і внутрішніх джерел, технологічний супровід завантаження даних у сховище даних;</w:t>
            </w:r>
          </w:p>
          <w:p w:rsidR="009E75B7" w:rsidRPr="00B037F1" w:rsidRDefault="00955B05" w:rsidP="00955B05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7F4504">
              <w:rPr>
                <w:lang w:val="uk-UA"/>
              </w:rPr>
              <w:t>Управління IT-</w:t>
            </w:r>
            <w:proofErr w:type="spellStart"/>
            <w:r w:rsidRPr="007F4504">
              <w:rPr>
                <w:lang w:val="uk-UA"/>
              </w:rPr>
              <w:t>проєктами</w:t>
            </w:r>
            <w:proofErr w:type="spellEnd"/>
            <w:r w:rsidRPr="007F4504">
              <w:rPr>
                <w:lang w:val="uk-UA"/>
              </w:rPr>
              <w:t xml:space="preserve"> за напрямками виконуваної роботи.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jc w:val="center"/>
              <w:rPr>
                <w:b/>
                <w:lang w:val="uk-UA"/>
              </w:rPr>
            </w:pPr>
            <w:r w:rsidRPr="00B037F1">
              <w:rPr>
                <w:b/>
                <w:lang w:val="uk-UA"/>
              </w:rPr>
              <w:t>ІІ</w:t>
            </w:r>
          </w:p>
        </w:tc>
        <w:tc>
          <w:tcPr>
            <w:tcW w:w="9377" w:type="dxa"/>
            <w:gridSpan w:val="2"/>
          </w:tcPr>
          <w:p w:rsidR="006D1B38" w:rsidRPr="00B037F1" w:rsidRDefault="00BA2B0A" w:rsidP="008A5455">
            <w:pPr>
              <w:jc w:val="center"/>
              <w:rPr>
                <w:b/>
                <w:lang w:val="uk-UA"/>
              </w:rPr>
            </w:pPr>
            <w:r w:rsidRPr="00B037F1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B037F1" w:rsidTr="00553E53">
        <w:tc>
          <w:tcPr>
            <w:tcW w:w="10207" w:type="dxa"/>
            <w:gridSpan w:val="3"/>
          </w:tcPr>
          <w:p w:rsidR="006E5B7E" w:rsidRPr="00B037F1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B037F1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010204" w:rsidRPr="00B037F1" w:rsidTr="00553E53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  <w:r w:rsidRPr="00B037F1">
              <w:rPr>
                <w:lang w:val="uk-UA"/>
              </w:rPr>
              <w:t>1.1.</w:t>
            </w:r>
          </w:p>
        </w:tc>
        <w:tc>
          <w:tcPr>
            <w:tcW w:w="3277" w:type="dxa"/>
          </w:tcPr>
          <w:p w:rsidR="00010204" w:rsidRPr="00B037F1" w:rsidRDefault="00010204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010204" w:rsidRPr="00B037F1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Вища</w:t>
            </w:r>
          </w:p>
        </w:tc>
      </w:tr>
      <w:tr w:rsidR="00010204" w:rsidRPr="00B037F1" w:rsidTr="00553E53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B037F1" w:rsidRDefault="00010204" w:rsidP="00010204">
            <w:pPr>
              <w:rPr>
                <w:lang w:val="uk-UA"/>
              </w:rPr>
            </w:pPr>
            <w:r w:rsidRPr="00B037F1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695BE6" w:rsidRPr="00B037F1" w:rsidRDefault="00695BE6" w:rsidP="00695BE6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Магістр (або спеціаліст),</w:t>
            </w:r>
          </w:p>
          <w:p w:rsidR="00010204" w:rsidRPr="00B037F1" w:rsidRDefault="00695BE6" w:rsidP="00695BE6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бакалавр (дипломований після 2015 року)</w:t>
            </w:r>
          </w:p>
        </w:tc>
      </w:tr>
      <w:tr w:rsidR="00C22C6A" w:rsidRPr="00B037F1" w:rsidTr="009C623C">
        <w:tc>
          <w:tcPr>
            <w:tcW w:w="830" w:type="dxa"/>
          </w:tcPr>
          <w:p w:rsidR="00C22C6A" w:rsidRPr="00B037F1" w:rsidRDefault="0033133C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1.2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B037F1" w:rsidRDefault="0033133C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C22C6A" w:rsidRPr="00B037F1" w:rsidRDefault="00245F10" w:rsidP="002F1C6B">
            <w:pPr>
              <w:tabs>
                <w:tab w:val="left" w:pos="312"/>
              </w:tabs>
              <w:rPr>
                <w:lang w:val="uk-UA"/>
              </w:rPr>
            </w:pPr>
            <w:r w:rsidRPr="00B037F1">
              <w:rPr>
                <w:lang w:val="uk-UA"/>
              </w:rPr>
              <w:t xml:space="preserve">Від </w:t>
            </w:r>
            <w:r w:rsidR="002F1C6B" w:rsidRPr="00B037F1">
              <w:rPr>
                <w:lang w:val="uk-UA"/>
              </w:rPr>
              <w:t>3</w:t>
            </w:r>
            <w:r w:rsidRPr="00B037F1">
              <w:rPr>
                <w:lang w:val="uk-UA"/>
              </w:rPr>
              <w:t xml:space="preserve"> років </w:t>
            </w:r>
            <w:r w:rsidR="00C56790" w:rsidRPr="00B037F1">
              <w:rPr>
                <w:lang w:val="uk-UA"/>
              </w:rPr>
              <w:t xml:space="preserve">у галузі </w:t>
            </w:r>
            <w:r w:rsidR="008D2C6B" w:rsidRPr="00B037F1">
              <w:rPr>
                <w:lang w:val="uk-UA"/>
              </w:rPr>
              <w:t>інформаційних технологій</w:t>
            </w: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1.3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Del="00E7634A" w:rsidRDefault="007C040A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7C040A" w:rsidRPr="00B037F1" w:rsidRDefault="003C5B4E" w:rsidP="003D27E6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Вільно</w:t>
            </w:r>
          </w:p>
        </w:tc>
      </w:tr>
      <w:tr w:rsidR="00BA3E12" w:rsidRPr="00B037F1" w:rsidTr="00553E53">
        <w:tc>
          <w:tcPr>
            <w:tcW w:w="830" w:type="dxa"/>
          </w:tcPr>
          <w:p w:rsidR="00BA3E12" w:rsidRPr="00B037F1" w:rsidRDefault="00BA3E12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lastRenderedPageBreak/>
              <w:t>1.4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B037F1" w:rsidRDefault="00BA3E12" w:rsidP="00BA3E12">
            <w:pPr>
              <w:rPr>
                <w:lang w:val="uk-UA"/>
              </w:rPr>
            </w:pPr>
            <w:r w:rsidRPr="00B037F1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BA3E12" w:rsidRPr="00B037F1" w:rsidRDefault="00BA3E12" w:rsidP="00BA3E12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 w:rsidRPr="00B037F1">
              <w:rPr>
                <w:lang w:val="uk-UA"/>
              </w:rPr>
              <w:t>и спеціалізованої документації.</w:t>
            </w:r>
          </w:p>
          <w:p w:rsidR="00133FFD" w:rsidRPr="00B037F1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1.5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133FFD" w:rsidRPr="00B037F1" w:rsidRDefault="00133FFD" w:rsidP="00133FFD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Безстрокове призначення.</w:t>
            </w:r>
          </w:p>
          <w:p w:rsidR="007C040A" w:rsidRPr="00B037F1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037F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:rsidR="00133FFD" w:rsidRPr="00B037F1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B037F1" w:rsidTr="00553E53">
        <w:tc>
          <w:tcPr>
            <w:tcW w:w="10207" w:type="dxa"/>
            <w:gridSpan w:val="3"/>
          </w:tcPr>
          <w:p w:rsidR="007C040A" w:rsidRPr="00B037F1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B037F1">
              <w:rPr>
                <w:rFonts w:eastAsia="Times New Roman"/>
                <w:i/>
                <w:lang w:val="uk-UA"/>
              </w:rPr>
              <w:t>Спеціальні</w:t>
            </w:r>
            <w:r w:rsidRPr="00B037F1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B037F1" w:rsidTr="00553E53">
        <w:trPr>
          <w:trHeight w:val="550"/>
        </w:trPr>
        <w:tc>
          <w:tcPr>
            <w:tcW w:w="830" w:type="dxa"/>
          </w:tcPr>
          <w:p w:rsidR="00BA3E12" w:rsidRPr="00B037F1" w:rsidRDefault="00BA3E12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B037F1" w:rsidRDefault="00BA3E12" w:rsidP="00BA3E12">
            <w:pPr>
              <w:jc w:val="both"/>
              <w:rPr>
                <w:caps/>
                <w:lang w:val="uk-UA"/>
              </w:rPr>
            </w:pPr>
            <w:r w:rsidRPr="00B037F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133FFD" w:rsidRPr="00B037F1" w:rsidRDefault="00BA3E12" w:rsidP="009C623C">
            <w:pPr>
              <w:tabs>
                <w:tab w:val="left" w:pos="327"/>
              </w:tabs>
              <w:jc w:val="both"/>
              <w:rPr>
                <w:sz w:val="6"/>
                <w:szCs w:val="6"/>
                <w:lang w:val="uk-UA"/>
              </w:rPr>
            </w:pPr>
            <w:r w:rsidRPr="00B037F1">
              <w:rPr>
                <w:color w:val="000000"/>
                <w:shd w:val="clear" w:color="auto" w:fill="FFFFFF"/>
                <w:lang w:val="uk-UA"/>
              </w:rPr>
              <w:t>Інформаційні технології, телекомунікації, електроніка, кібернетика, радіотехніка, інформаційн</w:t>
            </w:r>
            <w:r w:rsidR="00133FFD" w:rsidRPr="00B037F1">
              <w:rPr>
                <w:color w:val="000000"/>
                <w:shd w:val="clear" w:color="auto" w:fill="FFFFFF"/>
                <w:lang w:val="uk-UA"/>
              </w:rPr>
              <w:t>а безпека, прикладна математика.</w:t>
            </w:r>
          </w:p>
        </w:tc>
      </w:tr>
      <w:tr w:rsidR="007C040A" w:rsidRPr="00B037F1" w:rsidTr="00724B02">
        <w:trPr>
          <w:trHeight w:val="889"/>
        </w:trPr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2.2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373903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7C040A" w:rsidRPr="00B037F1" w:rsidRDefault="007C040A" w:rsidP="002F1C6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lang w:val="uk-UA"/>
              </w:rPr>
              <w:br w:type="page"/>
            </w:r>
            <w:r w:rsidRPr="00B037F1">
              <w:rPr>
                <w:lang w:val="uk-UA"/>
              </w:rPr>
              <w:br w:type="page"/>
            </w:r>
            <w:r w:rsidRPr="00B037F1">
              <w:rPr>
                <w:caps/>
                <w:lang w:val="uk-UA"/>
              </w:rPr>
              <w:t>2.3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7C040A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Знання законодавства відповідно до посадових обов</w:t>
            </w:r>
            <w:r w:rsidR="007938CD" w:rsidRPr="00B037F1">
              <w:rPr>
                <w:lang w:val="uk-UA"/>
              </w:rPr>
              <w:t>’</w:t>
            </w:r>
            <w:r w:rsidRPr="00B037F1">
              <w:rPr>
                <w:lang w:val="uk-UA"/>
              </w:rPr>
              <w:t>язків</w:t>
            </w:r>
          </w:p>
        </w:tc>
        <w:tc>
          <w:tcPr>
            <w:tcW w:w="6100" w:type="dxa"/>
          </w:tcPr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B037F1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33FFD" w:rsidRPr="00B037F1" w:rsidRDefault="00A61CA8" w:rsidP="009C623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55B05" w:rsidRPr="00B037F1" w:rsidTr="00553E53">
        <w:tc>
          <w:tcPr>
            <w:tcW w:w="830" w:type="dxa"/>
          </w:tcPr>
          <w:p w:rsidR="00955B05" w:rsidRPr="00B037F1" w:rsidRDefault="00955B05" w:rsidP="00955B05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2.4.</w:t>
            </w:r>
          </w:p>
        </w:tc>
        <w:tc>
          <w:tcPr>
            <w:tcW w:w="3277" w:type="dxa"/>
          </w:tcPr>
          <w:p w:rsidR="00955B05" w:rsidRPr="00B037F1" w:rsidRDefault="00955B05" w:rsidP="00955B05">
            <w:pPr>
              <w:rPr>
                <w:lang w:val="uk-UA"/>
              </w:rPr>
            </w:pPr>
            <w:r w:rsidRPr="00B037F1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955B05" w:rsidRPr="00F806B0" w:rsidRDefault="00955B05" w:rsidP="00955B0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методологій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управління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proofErr w:type="spellStart"/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955B05" w:rsidRPr="00F806B0" w:rsidRDefault="00955B05" w:rsidP="00955B0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Навички роботи в складних IT-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ктах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з великою кількістю завдань і великою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єктною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командою;</w:t>
            </w:r>
          </w:p>
          <w:p w:rsidR="00955B05" w:rsidRDefault="00955B05" w:rsidP="00955B0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нання етапів життєвого циклу IT-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досвід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ведення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ктної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документації;</w:t>
            </w:r>
          </w:p>
          <w:p w:rsidR="00955B05" w:rsidRDefault="00955B05" w:rsidP="00955B0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галузі </w:t>
            </w:r>
            <w:proofErr w:type="spellStart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технологічної побудови сховищ даних</w:t>
            </w:r>
            <w:r w:rsidRPr="006944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Data</w:t>
            </w:r>
            <w:r w:rsidRPr="00FF70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Warehouse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моделювання процесів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955B05" w:rsidRDefault="00955B05" w:rsidP="00955B0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методології опису бізнес-процесів та інформаційних потоків;</w:t>
            </w:r>
          </w:p>
          <w:p w:rsidR="00955B05" w:rsidRPr="00CE7DD3" w:rsidRDefault="00955B05" w:rsidP="00955B0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технологій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процесів ВІ;</w:t>
            </w:r>
          </w:p>
          <w:p w:rsidR="00955B05" w:rsidRPr="00133FFD" w:rsidRDefault="00955B05" w:rsidP="00955B05">
            <w:pPr>
              <w:ind w:left="252"/>
              <w:jc w:val="both"/>
              <w:rPr>
                <w:sz w:val="6"/>
                <w:szCs w:val="6"/>
                <w:lang w:val="uk-UA"/>
              </w:rPr>
            </w:pPr>
            <w:proofErr w:type="spellStart"/>
            <w:r w:rsidRPr="00551399">
              <w:t>Знання</w:t>
            </w:r>
            <w:proofErr w:type="spellEnd"/>
            <w:r w:rsidRPr="00551399">
              <w:t xml:space="preserve"> SQL на </w:t>
            </w:r>
            <w:proofErr w:type="spellStart"/>
            <w:r w:rsidRPr="00551399">
              <w:t>високому</w:t>
            </w:r>
            <w:proofErr w:type="spellEnd"/>
            <w:r w:rsidRPr="00551399">
              <w:t xml:space="preserve"> </w:t>
            </w:r>
            <w:proofErr w:type="spellStart"/>
            <w:r w:rsidRPr="00551399">
              <w:t>рівні</w:t>
            </w:r>
            <w:proofErr w:type="spellEnd"/>
            <w:r>
              <w:t xml:space="preserve"> та</w:t>
            </w:r>
            <w:r w:rsidRPr="00551399">
              <w:t xml:space="preserve"> </w:t>
            </w:r>
            <w:proofErr w:type="spellStart"/>
            <w:r w:rsidRPr="00551399">
              <w:t>д</w:t>
            </w:r>
            <w:r>
              <w:t>освід</w:t>
            </w:r>
            <w:proofErr w:type="spellEnd"/>
            <w:r>
              <w:t xml:space="preserve"> </w:t>
            </w:r>
            <w:proofErr w:type="spellStart"/>
            <w:r>
              <w:t>написання</w:t>
            </w:r>
            <w:proofErr w:type="spellEnd"/>
            <w:r>
              <w:t xml:space="preserve"> процедур PL/SQL</w:t>
            </w:r>
            <w:r w:rsidRPr="009E16B6">
              <w:t>.</w:t>
            </w:r>
          </w:p>
        </w:tc>
      </w:tr>
      <w:tr w:rsidR="00010204" w:rsidRPr="00B037F1" w:rsidTr="00553E53">
        <w:tc>
          <w:tcPr>
            <w:tcW w:w="830" w:type="dxa"/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  <w:r w:rsidRPr="00B037F1">
              <w:rPr>
                <w:lang w:val="uk-UA"/>
              </w:rPr>
              <w:t>2.5.</w:t>
            </w:r>
          </w:p>
        </w:tc>
        <w:tc>
          <w:tcPr>
            <w:tcW w:w="3277" w:type="dxa"/>
          </w:tcPr>
          <w:p w:rsidR="00010204" w:rsidRPr="00B037F1" w:rsidRDefault="00010204" w:rsidP="00010204">
            <w:pPr>
              <w:ind w:right="-178"/>
              <w:rPr>
                <w:lang w:val="uk-UA"/>
              </w:rPr>
            </w:pPr>
            <w:r w:rsidRPr="00B037F1"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DC627C" w:rsidRPr="00B037F1" w:rsidRDefault="00010204" w:rsidP="007757B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DC627C" w:rsidRPr="00B037F1" w:rsidRDefault="00DC627C" w:rsidP="00B278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Орієнтація на результат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досягнення кінцев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ої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мети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2.6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виокремлю</w:t>
            </w:r>
            <w:r w:rsidR="000C6AE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вати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740B1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шука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ну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інформацію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 наборів не</w:t>
            </w:r>
            <w:r w:rsidR="00740B1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впорядко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ваних даних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2.7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Pr="00B037F1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Вміння </w:t>
            </w:r>
            <w:r w:rsidR="00E36F4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lastRenderedPageBreak/>
              <w:t>2.8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B037F1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2.9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B037F1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B037F1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 w:rsidRPr="00B037F1">
              <w:rPr>
                <w:rFonts w:ascii="Times New Roman" w:hAnsi="Times New Roman"/>
                <w:sz w:val="24"/>
                <w:szCs w:val="24"/>
              </w:rPr>
              <w:t>’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B037F1" w:rsidTr="00553E53">
        <w:tc>
          <w:tcPr>
            <w:tcW w:w="830" w:type="dxa"/>
          </w:tcPr>
          <w:p w:rsidR="00F75E59" w:rsidRPr="00B037F1" w:rsidRDefault="00F75E59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2.10.</w:t>
            </w:r>
          </w:p>
        </w:tc>
        <w:tc>
          <w:tcPr>
            <w:tcW w:w="3277" w:type="dxa"/>
          </w:tcPr>
          <w:p w:rsidR="00F75E59" w:rsidRPr="00B037F1" w:rsidRDefault="00F75E59" w:rsidP="00F75E59">
            <w:pPr>
              <w:rPr>
                <w:lang w:val="uk-UA"/>
              </w:rPr>
            </w:pPr>
            <w:r w:rsidRPr="00B037F1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F75E59" w:rsidRPr="00B037F1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Адаптація до змін і прийняття нових підходів у вирішенні поставлених завдань.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B037F1" w:rsidTr="00553E53">
        <w:tc>
          <w:tcPr>
            <w:tcW w:w="830" w:type="dxa"/>
          </w:tcPr>
          <w:p w:rsidR="00010204" w:rsidRPr="00B037F1" w:rsidRDefault="00010204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2.11.</w:t>
            </w:r>
          </w:p>
        </w:tc>
        <w:tc>
          <w:tcPr>
            <w:tcW w:w="3277" w:type="dxa"/>
          </w:tcPr>
          <w:p w:rsidR="00010204" w:rsidRPr="00B037F1" w:rsidRDefault="00010204" w:rsidP="00010204">
            <w:pPr>
              <w:rPr>
                <w:lang w:val="uk-UA"/>
              </w:rPr>
            </w:pPr>
            <w:r w:rsidRPr="00B037F1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955B05" w:rsidRDefault="00955B05" w:rsidP="00955B0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озгорта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налаштування, тестування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адміністрування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супроводу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технічної підтримки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ІТ-систем;</w:t>
            </w:r>
          </w:p>
          <w:p w:rsidR="00955B05" w:rsidRDefault="00955B05" w:rsidP="00955B0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діагностик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пошук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усунення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помилок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ІТ-систем;</w:t>
            </w:r>
          </w:p>
          <w:p w:rsidR="00133FFD" w:rsidRPr="00B037F1" w:rsidRDefault="00955B05" w:rsidP="00955B05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застосування стандартів, моделей, кращих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практик впровадження ІТ-систем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010204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B037F1" w:rsidDel="00E7634A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B037F1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B037F1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2"/>
          </w:tcPr>
          <w:p w:rsidR="00373903" w:rsidRPr="00B037F1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F1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C5B4E" w:rsidRPr="00B037F1" w:rsidTr="002B66F4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3.1.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shd w:val="clear" w:color="auto" w:fill="auto"/>
          </w:tcPr>
          <w:p w:rsidR="003C5B4E" w:rsidRPr="00B037F1" w:rsidRDefault="003C5B4E" w:rsidP="003C5B4E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 w:history="1">
              <w:r w:rsidRPr="00B037F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заява, підписана електронним підписом, 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самоврядування, за минулий рік, подана у порядку, встановленому Законом України «Про запобігання корупції», як кандидата на посаду;</w:t>
            </w:r>
          </w:p>
          <w:p w:rsidR="003C5B4E" w:rsidRPr="00B037F1" w:rsidRDefault="003C5B4E" w:rsidP="003C5B4E">
            <w:pPr>
              <w:pStyle w:val="a9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3C5B4E" w:rsidRPr="00B037F1" w:rsidRDefault="003C5B4E" w:rsidP="003C5B4E">
            <w:pPr>
              <w:pStyle w:val="a9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3C5B4E" w:rsidRPr="00B037F1" w:rsidRDefault="003C5B4E" w:rsidP="003C5B4E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</w:t>
            </w:r>
            <w:r w:rsidRPr="00B037F1">
              <w:rPr>
                <w:lang w:val="uk-UA"/>
              </w:rPr>
              <w:lastRenderedPageBreak/>
              <w:t xml:space="preserve">вхідний документ та повертається на </w:t>
            </w:r>
            <w:proofErr w:type="spellStart"/>
            <w:r w:rsidRPr="00B037F1">
              <w:rPr>
                <w:lang w:val="uk-UA"/>
              </w:rPr>
              <w:t>зворотню</w:t>
            </w:r>
            <w:proofErr w:type="spellEnd"/>
            <w:r w:rsidRPr="00B037F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C5B4E" w:rsidRPr="00B037F1" w:rsidRDefault="003C5B4E" w:rsidP="003C5B4E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3C5B4E" w:rsidRPr="00B037F1" w:rsidRDefault="003C5B4E" w:rsidP="003C5B4E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3C5B4E" w:rsidRPr="00B037F1" w:rsidRDefault="003C5B4E" w:rsidP="003C5B4E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 w:rsidRPr="00B037F1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B037F1">
              <w:rPr>
                <w:lang w:val="uk-UA"/>
              </w:rPr>
              <w:t>вебсайті</w:t>
            </w:r>
            <w:proofErr w:type="spellEnd"/>
            <w:r w:rsidRPr="00B037F1">
              <w:rPr>
                <w:lang w:val="uk-UA"/>
              </w:rPr>
              <w:t xml:space="preserve"> Національного бюро (</w:t>
            </w:r>
            <w:hyperlink r:id="rId7" w:history="1">
              <w:r w:rsidRPr="00B037F1"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3C5B4E" w:rsidRPr="00B037F1" w:rsidRDefault="003C5B4E" w:rsidP="003C5B4E">
            <w:pPr>
              <w:tabs>
                <w:tab w:val="left" w:pos="273"/>
              </w:tabs>
              <w:jc w:val="both"/>
              <w:rPr>
                <w:sz w:val="10"/>
                <w:szCs w:val="10"/>
                <w:highlight w:val="yellow"/>
                <w:lang w:val="uk-UA"/>
              </w:rPr>
            </w:pPr>
            <w:r w:rsidRPr="00B037F1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3C5B4E" w:rsidRPr="00B037F1" w:rsidRDefault="003C5B4E" w:rsidP="003C5B4E">
            <w:pPr>
              <w:jc w:val="both"/>
              <w:rPr>
                <w:color w:val="000000"/>
                <w:lang w:val="uk-UA"/>
              </w:rPr>
            </w:pPr>
            <w:r w:rsidRPr="00B037F1">
              <w:rPr>
                <w:kern w:val="36"/>
                <w:lang w:val="uk-UA"/>
              </w:rPr>
              <w:t xml:space="preserve">Протягом 15 календарних днів </w:t>
            </w:r>
          </w:p>
        </w:tc>
      </w:tr>
      <w:tr w:rsidR="003C5B4E" w:rsidRPr="00B037F1" w:rsidTr="006D5AD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sz w:val="6"/>
                <w:szCs w:val="6"/>
                <w:lang w:val="uk-UA"/>
              </w:rPr>
            </w:pPr>
            <w:r w:rsidRPr="00B037F1">
              <w:rPr>
                <w:lang w:val="uk-UA"/>
              </w:rPr>
              <w:t>Адреса, за якою приймаються (на яку надсилаються) документи</w:t>
            </w:r>
            <w:r w:rsidRPr="00B037F1">
              <w:rPr>
                <w:sz w:val="6"/>
                <w:szCs w:val="6"/>
                <w:lang w:val="uk-UA"/>
              </w:rPr>
              <w:t xml:space="preserve"> </w:t>
            </w:r>
          </w:p>
        </w:tc>
        <w:tc>
          <w:tcPr>
            <w:tcW w:w="6100" w:type="dxa"/>
            <w:vAlign w:val="center"/>
          </w:tcPr>
          <w:p w:rsidR="003C5B4E" w:rsidRPr="00B037F1" w:rsidRDefault="003C5B4E" w:rsidP="003C5B4E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Офіційна електронна адреса </w:t>
            </w:r>
          </w:p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 xml:space="preserve">Національного бюро </w:t>
            </w:r>
            <w:r w:rsidRPr="00B037F1"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jc w:val="both"/>
              <w:rPr>
                <w:rStyle w:val="a6"/>
                <w:lang w:val="uk-UA"/>
              </w:rPr>
            </w:pPr>
            <w:r w:rsidRPr="00B037F1">
              <w:rPr>
                <w:b/>
                <w:bCs/>
                <w:lang w:val="uk-UA"/>
              </w:rPr>
              <w:t>E-</w:t>
            </w:r>
            <w:proofErr w:type="spellStart"/>
            <w:r w:rsidRPr="00B037F1">
              <w:rPr>
                <w:b/>
                <w:bCs/>
                <w:lang w:val="uk-UA"/>
              </w:rPr>
              <w:t>mail</w:t>
            </w:r>
            <w:proofErr w:type="spellEnd"/>
            <w:r w:rsidRPr="00B037F1">
              <w:rPr>
                <w:b/>
                <w:bCs/>
                <w:lang w:val="uk-UA"/>
              </w:rPr>
              <w:t>:</w:t>
            </w:r>
            <w:r w:rsidRPr="00B037F1">
              <w:rPr>
                <w:lang w:val="uk-UA"/>
              </w:rPr>
              <w:t> </w:t>
            </w:r>
            <w:r w:rsidR="00CC3682">
              <w:fldChar w:fldCharType="begin"/>
            </w:r>
            <w:r w:rsidR="00CC3682" w:rsidRPr="00CC3682">
              <w:rPr>
                <w:lang w:val="uk-UA"/>
              </w:rPr>
              <w:instrText xml:space="preserve"> </w:instrText>
            </w:r>
            <w:r w:rsidR="00CC3682">
              <w:instrText>HYPERLINK</w:instrText>
            </w:r>
            <w:r w:rsidR="00CC3682" w:rsidRPr="00CC3682">
              <w:rPr>
                <w:lang w:val="uk-UA"/>
              </w:rPr>
              <w:instrText xml:space="preserve"> "</w:instrText>
            </w:r>
            <w:r w:rsidR="00CC3682">
              <w:instrText>mailto</w:instrText>
            </w:r>
            <w:r w:rsidR="00CC3682" w:rsidRPr="00CC3682">
              <w:rPr>
                <w:lang w:val="uk-UA"/>
              </w:rPr>
              <w:instrText>:</w:instrText>
            </w:r>
            <w:r w:rsidR="00CC3682">
              <w:instrText>commission</w:instrText>
            </w:r>
            <w:r w:rsidR="00CC3682" w:rsidRPr="00CC3682">
              <w:rPr>
                <w:lang w:val="uk-UA"/>
              </w:rPr>
              <w:instrText>1@</w:instrText>
            </w:r>
            <w:r w:rsidR="00CC3682">
              <w:instrText>nabu</w:instrText>
            </w:r>
            <w:r w:rsidR="00CC3682" w:rsidRPr="00CC3682">
              <w:rPr>
                <w:lang w:val="uk-UA"/>
              </w:rPr>
              <w:instrText>.</w:instrText>
            </w:r>
            <w:r w:rsidR="00CC3682">
              <w:instrText>gov</w:instrText>
            </w:r>
            <w:r w:rsidR="00CC3682" w:rsidRPr="00CC3682">
              <w:rPr>
                <w:lang w:val="uk-UA"/>
              </w:rPr>
              <w:instrText>.</w:instrText>
            </w:r>
            <w:r w:rsidR="00CC3682">
              <w:instrText>ua</w:instrText>
            </w:r>
            <w:r w:rsidR="00CC3682" w:rsidRPr="00CC3682">
              <w:rPr>
                <w:lang w:val="uk-UA"/>
              </w:rPr>
              <w:instrText xml:space="preserve">" </w:instrText>
            </w:r>
            <w:r w:rsidR="00CC3682">
              <w:fldChar w:fldCharType="separate"/>
            </w:r>
            <w:r w:rsidRPr="00B037F1">
              <w:rPr>
                <w:rStyle w:val="a6"/>
                <w:lang w:val="uk-UA"/>
              </w:rPr>
              <w:t>commission1@nabu.gov.ua</w:t>
            </w:r>
            <w:r w:rsidR="00CC3682">
              <w:rPr>
                <w:rStyle w:val="a6"/>
                <w:lang w:val="uk-UA"/>
              </w:rPr>
              <w:fldChar w:fldCharType="end"/>
            </w:r>
          </w:p>
          <w:p w:rsidR="003C5B4E" w:rsidRPr="00B037F1" w:rsidRDefault="003C5B4E" w:rsidP="003C5B4E">
            <w:pPr>
              <w:jc w:val="both"/>
              <w:rPr>
                <w:lang w:val="uk-UA"/>
              </w:rPr>
            </w:pPr>
            <w:r w:rsidRPr="00B037F1">
              <w:rPr>
                <w:rStyle w:val="a6"/>
                <w:color w:val="auto"/>
                <w:u w:val="none"/>
                <w:lang w:val="uk-UA"/>
              </w:rPr>
              <w:t>(044) 246-31-22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jc w:val="both"/>
              <w:rPr>
                <w:kern w:val="36"/>
                <w:lang w:val="uk-UA"/>
              </w:rPr>
            </w:pPr>
            <w:r w:rsidRPr="00B037F1">
              <w:rPr>
                <w:kern w:val="36"/>
                <w:lang w:val="uk-UA"/>
              </w:rPr>
              <w:t xml:space="preserve">Посадовий оклад: </w:t>
            </w:r>
            <w:r w:rsidR="00695BE6" w:rsidRPr="00B037F1">
              <w:rPr>
                <w:lang w:val="uk-UA"/>
              </w:rPr>
              <w:t>40 680,00 грн</w:t>
            </w:r>
            <w:r w:rsidRPr="00B037F1">
              <w:rPr>
                <w:kern w:val="36"/>
                <w:lang w:val="uk-UA"/>
              </w:rPr>
              <w:t xml:space="preserve"> </w:t>
            </w:r>
            <w:proofErr w:type="spellStart"/>
            <w:r w:rsidRPr="00B037F1">
              <w:rPr>
                <w:kern w:val="36"/>
                <w:lang w:val="uk-UA"/>
              </w:rPr>
              <w:t>грн</w:t>
            </w:r>
            <w:proofErr w:type="spellEnd"/>
            <w:r w:rsidRPr="00B037F1">
              <w:rPr>
                <w:kern w:val="36"/>
                <w:lang w:val="uk-UA"/>
              </w:rPr>
              <w:t>.</w:t>
            </w:r>
          </w:p>
          <w:p w:rsidR="003C5B4E" w:rsidRPr="00B037F1" w:rsidRDefault="003C5B4E" w:rsidP="003C5B4E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3C5B4E" w:rsidRPr="00B037F1" w:rsidRDefault="003C5B4E" w:rsidP="00740B13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м. Київ, вул. </w:t>
            </w:r>
            <w:r w:rsidR="00740B13" w:rsidRPr="00B037F1">
              <w:rPr>
                <w:lang w:val="uk-UA"/>
              </w:rPr>
              <w:t>Дениса Монастирського</w:t>
            </w:r>
            <w:r w:rsidR="00724B02">
              <w:rPr>
                <w:lang w:val="uk-UA"/>
              </w:rPr>
              <w:t xml:space="preserve"> (</w:t>
            </w:r>
            <w:proofErr w:type="spellStart"/>
            <w:r w:rsidR="00724B02">
              <w:rPr>
                <w:lang w:val="uk-UA"/>
              </w:rPr>
              <w:t>В.Сурикова</w:t>
            </w:r>
            <w:proofErr w:type="spellEnd"/>
            <w:r w:rsidR="00724B02">
              <w:rPr>
                <w:lang w:val="uk-UA"/>
              </w:rPr>
              <w:t>)</w:t>
            </w:r>
            <w:r w:rsidRPr="00B037F1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6D1B38" w:rsidRPr="00B037F1" w:rsidRDefault="006D1B38" w:rsidP="006D5AD3">
      <w:pPr>
        <w:rPr>
          <w:lang w:val="uk-UA"/>
        </w:rPr>
      </w:pPr>
    </w:p>
    <w:sectPr w:rsidR="006D1B38" w:rsidRPr="00B037F1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2124D"/>
    <w:rsid w:val="00022E46"/>
    <w:rsid w:val="00030F77"/>
    <w:rsid w:val="00031CEC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0F44A1"/>
    <w:rsid w:val="0011645A"/>
    <w:rsid w:val="00123790"/>
    <w:rsid w:val="00133FFD"/>
    <w:rsid w:val="001409DD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F05AA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2B5E"/>
    <w:rsid w:val="00253CA0"/>
    <w:rsid w:val="00263401"/>
    <w:rsid w:val="00263616"/>
    <w:rsid w:val="002808D8"/>
    <w:rsid w:val="00293CF0"/>
    <w:rsid w:val="0029581A"/>
    <w:rsid w:val="0029588E"/>
    <w:rsid w:val="00295D93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2F1C6B"/>
    <w:rsid w:val="00324270"/>
    <w:rsid w:val="0033133C"/>
    <w:rsid w:val="00340BB2"/>
    <w:rsid w:val="00344EDB"/>
    <w:rsid w:val="00345B29"/>
    <w:rsid w:val="00347302"/>
    <w:rsid w:val="00351FAC"/>
    <w:rsid w:val="0036673C"/>
    <w:rsid w:val="00373903"/>
    <w:rsid w:val="00376D82"/>
    <w:rsid w:val="00380DDA"/>
    <w:rsid w:val="003A2037"/>
    <w:rsid w:val="003A2FBE"/>
    <w:rsid w:val="003B1AF5"/>
    <w:rsid w:val="003B325C"/>
    <w:rsid w:val="003C5B4E"/>
    <w:rsid w:val="003D27E6"/>
    <w:rsid w:val="003D2D1D"/>
    <w:rsid w:val="003D45BB"/>
    <w:rsid w:val="003D49DA"/>
    <w:rsid w:val="003D5C0A"/>
    <w:rsid w:val="003E1D60"/>
    <w:rsid w:val="003E46C7"/>
    <w:rsid w:val="003E6C82"/>
    <w:rsid w:val="003F2E66"/>
    <w:rsid w:val="004014D2"/>
    <w:rsid w:val="00407D08"/>
    <w:rsid w:val="004140DA"/>
    <w:rsid w:val="00421421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1783"/>
    <w:rsid w:val="00475A26"/>
    <w:rsid w:val="004769E4"/>
    <w:rsid w:val="004770C7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53E53"/>
    <w:rsid w:val="00557F68"/>
    <w:rsid w:val="005633F5"/>
    <w:rsid w:val="00564C9A"/>
    <w:rsid w:val="005726AA"/>
    <w:rsid w:val="00575937"/>
    <w:rsid w:val="00591A94"/>
    <w:rsid w:val="005A34CD"/>
    <w:rsid w:val="005B3096"/>
    <w:rsid w:val="005B65AD"/>
    <w:rsid w:val="005C48BB"/>
    <w:rsid w:val="005E0252"/>
    <w:rsid w:val="005E36AE"/>
    <w:rsid w:val="005E79CE"/>
    <w:rsid w:val="005F001A"/>
    <w:rsid w:val="005F0C75"/>
    <w:rsid w:val="005F2329"/>
    <w:rsid w:val="005F2B37"/>
    <w:rsid w:val="006002B0"/>
    <w:rsid w:val="006231EA"/>
    <w:rsid w:val="00631976"/>
    <w:rsid w:val="00634A8C"/>
    <w:rsid w:val="00637E8A"/>
    <w:rsid w:val="00650292"/>
    <w:rsid w:val="0065381D"/>
    <w:rsid w:val="0065738F"/>
    <w:rsid w:val="00657396"/>
    <w:rsid w:val="00664B69"/>
    <w:rsid w:val="0069126D"/>
    <w:rsid w:val="00695BE6"/>
    <w:rsid w:val="006A2C7F"/>
    <w:rsid w:val="006B5EA2"/>
    <w:rsid w:val="006C17A0"/>
    <w:rsid w:val="006C75C4"/>
    <w:rsid w:val="006D1B38"/>
    <w:rsid w:val="006D5AD3"/>
    <w:rsid w:val="006E19D4"/>
    <w:rsid w:val="006E4E7B"/>
    <w:rsid w:val="006E5B7E"/>
    <w:rsid w:val="006F7D4F"/>
    <w:rsid w:val="0070355B"/>
    <w:rsid w:val="007114E9"/>
    <w:rsid w:val="00715A22"/>
    <w:rsid w:val="00724B02"/>
    <w:rsid w:val="00731F07"/>
    <w:rsid w:val="00740B13"/>
    <w:rsid w:val="0074226C"/>
    <w:rsid w:val="0076085C"/>
    <w:rsid w:val="00765BF6"/>
    <w:rsid w:val="00766ACF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0433A"/>
    <w:rsid w:val="00814BC5"/>
    <w:rsid w:val="00820071"/>
    <w:rsid w:val="00844882"/>
    <w:rsid w:val="00850187"/>
    <w:rsid w:val="008558B0"/>
    <w:rsid w:val="00860DBE"/>
    <w:rsid w:val="008650A3"/>
    <w:rsid w:val="008703F5"/>
    <w:rsid w:val="00870AA3"/>
    <w:rsid w:val="008720B4"/>
    <w:rsid w:val="00872580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683B"/>
    <w:rsid w:val="008F21DB"/>
    <w:rsid w:val="00921D8B"/>
    <w:rsid w:val="0093092A"/>
    <w:rsid w:val="00934E8E"/>
    <w:rsid w:val="00936177"/>
    <w:rsid w:val="00951085"/>
    <w:rsid w:val="009554B5"/>
    <w:rsid w:val="00955B05"/>
    <w:rsid w:val="00957B0A"/>
    <w:rsid w:val="00980B4E"/>
    <w:rsid w:val="009C5A8A"/>
    <w:rsid w:val="009C623C"/>
    <w:rsid w:val="009D2531"/>
    <w:rsid w:val="009D30C8"/>
    <w:rsid w:val="009D3CD8"/>
    <w:rsid w:val="009D482F"/>
    <w:rsid w:val="009E1DA6"/>
    <w:rsid w:val="009E50F2"/>
    <w:rsid w:val="009E75B7"/>
    <w:rsid w:val="009F69BB"/>
    <w:rsid w:val="00A02006"/>
    <w:rsid w:val="00A1110A"/>
    <w:rsid w:val="00A17204"/>
    <w:rsid w:val="00A17B23"/>
    <w:rsid w:val="00A3513C"/>
    <w:rsid w:val="00A363DE"/>
    <w:rsid w:val="00A43728"/>
    <w:rsid w:val="00A46BD3"/>
    <w:rsid w:val="00A51DEB"/>
    <w:rsid w:val="00A546B7"/>
    <w:rsid w:val="00A54F74"/>
    <w:rsid w:val="00A5788B"/>
    <w:rsid w:val="00A60270"/>
    <w:rsid w:val="00A61CA8"/>
    <w:rsid w:val="00A72EC3"/>
    <w:rsid w:val="00A77C3E"/>
    <w:rsid w:val="00A81CF9"/>
    <w:rsid w:val="00AB4180"/>
    <w:rsid w:val="00AC1D4A"/>
    <w:rsid w:val="00AC30F9"/>
    <w:rsid w:val="00AD1A71"/>
    <w:rsid w:val="00AD2F7F"/>
    <w:rsid w:val="00AD3C10"/>
    <w:rsid w:val="00AE2727"/>
    <w:rsid w:val="00AE385E"/>
    <w:rsid w:val="00AF1D24"/>
    <w:rsid w:val="00B02900"/>
    <w:rsid w:val="00B02917"/>
    <w:rsid w:val="00B037F1"/>
    <w:rsid w:val="00B044F0"/>
    <w:rsid w:val="00B06009"/>
    <w:rsid w:val="00B07865"/>
    <w:rsid w:val="00B11538"/>
    <w:rsid w:val="00B132C3"/>
    <w:rsid w:val="00B20395"/>
    <w:rsid w:val="00B209E9"/>
    <w:rsid w:val="00B32BD1"/>
    <w:rsid w:val="00B44C4E"/>
    <w:rsid w:val="00B50A30"/>
    <w:rsid w:val="00B518DD"/>
    <w:rsid w:val="00B5309D"/>
    <w:rsid w:val="00B66BA2"/>
    <w:rsid w:val="00B7070A"/>
    <w:rsid w:val="00B71EC5"/>
    <w:rsid w:val="00B8482A"/>
    <w:rsid w:val="00B85E31"/>
    <w:rsid w:val="00B946CA"/>
    <w:rsid w:val="00BA2B0A"/>
    <w:rsid w:val="00BA3E12"/>
    <w:rsid w:val="00BA5051"/>
    <w:rsid w:val="00BB0AF5"/>
    <w:rsid w:val="00BB42F3"/>
    <w:rsid w:val="00BC4141"/>
    <w:rsid w:val="00BD7BEF"/>
    <w:rsid w:val="00BE0A72"/>
    <w:rsid w:val="00BF47B1"/>
    <w:rsid w:val="00BF5D39"/>
    <w:rsid w:val="00C03164"/>
    <w:rsid w:val="00C04D54"/>
    <w:rsid w:val="00C117D5"/>
    <w:rsid w:val="00C12295"/>
    <w:rsid w:val="00C15550"/>
    <w:rsid w:val="00C220DA"/>
    <w:rsid w:val="00C22C6A"/>
    <w:rsid w:val="00C348CC"/>
    <w:rsid w:val="00C4546B"/>
    <w:rsid w:val="00C503A3"/>
    <w:rsid w:val="00C53163"/>
    <w:rsid w:val="00C56790"/>
    <w:rsid w:val="00C700A1"/>
    <w:rsid w:val="00C7169E"/>
    <w:rsid w:val="00C750D7"/>
    <w:rsid w:val="00C753B8"/>
    <w:rsid w:val="00C8311E"/>
    <w:rsid w:val="00C860F2"/>
    <w:rsid w:val="00C908BA"/>
    <w:rsid w:val="00CA04C8"/>
    <w:rsid w:val="00CB1A91"/>
    <w:rsid w:val="00CC1E65"/>
    <w:rsid w:val="00CC3682"/>
    <w:rsid w:val="00CC4DC6"/>
    <w:rsid w:val="00CD30B7"/>
    <w:rsid w:val="00CE28C0"/>
    <w:rsid w:val="00CE7DD3"/>
    <w:rsid w:val="00CF3BF9"/>
    <w:rsid w:val="00CF6C1B"/>
    <w:rsid w:val="00D014E4"/>
    <w:rsid w:val="00D170E9"/>
    <w:rsid w:val="00D201B3"/>
    <w:rsid w:val="00D3094E"/>
    <w:rsid w:val="00D3542E"/>
    <w:rsid w:val="00D43414"/>
    <w:rsid w:val="00D478D9"/>
    <w:rsid w:val="00D47F83"/>
    <w:rsid w:val="00D52D21"/>
    <w:rsid w:val="00D53582"/>
    <w:rsid w:val="00D565C2"/>
    <w:rsid w:val="00D75A9B"/>
    <w:rsid w:val="00D766C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627C"/>
    <w:rsid w:val="00DC7071"/>
    <w:rsid w:val="00DC7CD6"/>
    <w:rsid w:val="00DD273C"/>
    <w:rsid w:val="00DE0057"/>
    <w:rsid w:val="00DE03E3"/>
    <w:rsid w:val="00DE309B"/>
    <w:rsid w:val="00DE400E"/>
    <w:rsid w:val="00DE47D0"/>
    <w:rsid w:val="00DF7240"/>
    <w:rsid w:val="00E00A3B"/>
    <w:rsid w:val="00E012A5"/>
    <w:rsid w:val="00E02DBE"/>
    <w:rsid w:val="00E04086"/>
    <w:rsid w:val="00E13E33"/>
    <w:rsid w:val="00E1685C"/>
    <w:rsid w:val="00E16B0C"/>
    <w:rsid w:val="00E2424C"/>
    <w:rsid w:val="00E242C0"/>
    <w:rsid w:val="00E25482"/>
    <w:rsid w:val="00E36A07"/>
    <w:rsid w:val="00E36F45"/>
    <w:rsid w:val="00E44F2F"/>
    <w:rsid w:val="00E538E3"/>
    <w:rsid w:val="00E53AE5"/>
    <w:rsid w:val="00E651CC"/>
    <w:rsid w:val="00E71454"/>
    <w:rsid w:val="00E72595"/>
    <w:rsid w:val="00E72E3E"/>
    <w:rsid w:val="00E90B03"/>
    <w:rsid w:val="00E93A4D"/>
    <w:rsid w:val="00E96977"/>
    <w:rsid w:val="00EA459A"/>
    <w:rsid w:val="00EA7F4F"/>
    <w:rsid w:val="00EB2AF8"/>
    <w:rsid w:val="00EC1757"/>
    <w:rsid w:val="00EE16AB"/>
    <w:rsid w:val="00EE3CB3"/>
    <w:rsid w:val="00EE4106"/>
    <w:rsid w:val="00F06515"/>
    <w:rsid w:val="00F25A81"/>
    <w:rsid w:val="00F27D13"/>
    <w:rsid w:val="00F3372E"/>
    <w:rsid w:val="00F3615C"/>
    <w:rsid w:val="00F41160"/>
    <w:rsid w:val="00F45569"/>
    <w:rsid w:val="00F45A7B"/>
    <w:rsid w:val="00F60E68"/>
    <w:rsid w:val="00F704E1"/>
    <w:rsid w:val="00F746AA"/>
    <w:rsid w:val="00F75949"/>
    <w:rsid w:val="00F75E59"/>
    <w:rsid w:val="00F85584"/>
    <w:rsid w:val="00F921EB"/>
    <w:rsid w:val="00FA18F6"/>
    <w:rsid w:val="00FA3E78"/>
    <w:rsid w:val="00FA4040"/>
    <w:rsid w:val="00FB1F78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AE5C1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  <w:style w:type="paragraph" w:customStyle="1" w:styleId="210">
    <w:name w:val="Середня сітка 21"/>
    <w:uiPriority w:val="1"/>
    <w:qFormat/>
    <w:rsid w:val="00DC627C"/>
    <w:rPr>
      <w:sz w:val="22"/>
      <w:szCs w:val="22"/>
      <w:lang w:val="ru-RU" w:eastAsia="en-US"/>
    </w:rPr>
  </w:style>
  <w:style w:type="paragraph" w:customStyle="1" w:styleId="22">
    <w:name w:val="Абзац списку2"/>
    <w:basedOn w:val="a"/>
    <w:rsid w:val="003C5B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DF01-DB61-4338-8F42-5023C5AC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4839</Words>
  <Characters>2759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7583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Медина Олена Степанівна</cp:lastModifiedBy>
  <cp:revision>6</cp:revision>
  <cp:lastPrinted>2020-03-05T07:03:00Z</cp:lastPrinted>
  <dcterms:created xsi:type="dcterms:W3CDTF">2024-03-01T12:13:00Z</dcterms:created>
  <dcterms:modified xsi:type="dcterms:W3CDTF">2024-03-15T14:34:00Z</dcterms:modified>
</cp:coreProperties>
</file>