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B6" w:rsidRPr="008F1BDB" w:rsidRDefault="00B22AB6" w:rsidP="00B22AB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47ED5">
        <w:rPr>
          <w:b/>
          <w:sz w:val="28"/>
          <w:szCs w:val="28"/>
          <w:lang w:val="uk-UA"/>
        </w:rPr>
        <w:t>ПРОФІЛЬ ПОСАДИ</w:t>
      </w:r>
      <w:r w:rsidRPr="00747ED5">
        <w:rPr>
          <w:b/>
          <w:sz w:val="28"/>
          <w:szCs w:val="28"/>
          <w:lang w:val="uk-UA"/>
        </w:rPr>
        <w:br/>
        <w:t>«</w:t>
      </w:r>
      <w:r w:rsidRPr="00B22AB6">
        <w:rPr>
          <w:b/>
          <w:sz w:val="28"/>
          <w:szCs w:val="28"/>
          <w:lang w:val="uk-UA"/>
        </w:rPr>
        <w:t>Заступник керівника Підрозділу детективів організаційно-аналітичного забезпечення та стратегічного розвитку – керівник відділу аналітично-методичної роботи та стратегічного розвитку підрозділів детективів</w:t>
      </w:r>
    </w:p>
    <w:p w:rsidR="00B22AB6" w:rsidRDefault="00B22AB6" w:rsidP="00B22AB6">
      <w:pPr>
        <w:jc w:val="center"/>
        <w:rPr>
          <w:b/>
          <w:sz w:val="28"/>
          <w:szCs w:val="28"/>
          <w:lang w:val="uk-UA"/>
        </w:rPr>
      </w:pPr>
      <w:r w:rsidRPr="008F1BDB">
        <w:rPr>
          <w:b/>
          <w:sz w:val="28"/>
          <w:szCs w:val="28"/>
          <w:lang w:val="uk-UA"/>
        </w:rPr>
        <w:t>Національного антикорупційного бюро України»</w:t>
      </w:r>
    </w:p>
    <w:p w:rsidR="00B22AB6" w:rsidRPr="00480AF4" w:rsidRDefault="00B22AB6" w:rsidP="00B22AB6">
      <w:pPr>
        <w:jc w:val="center"/>
        <w:rPr>
          <w:b/>
          <w:sz w:val="28"/>
          <w:szCs w:val="28"/>
          <w:lang w:val="uk-UA"/>
        </w:rPr>
      </w:pPr>
      <w:r w:rsidRPr="00480AF4">
        <w:rPr>
          <w:b/>
          <w:sz w:val="28"/>
          <w:szCs w:val="28"/>
          <w:lang w:val="uk-UA"/>
        </w:rPr>
        <w:t>(</w:t>
      </w:r>
      <w:r w:rsidRPr="00480AF4">
        <w:rPr>
          <w:b/>
          <w:i/>
          <w:sz w:val="28"/>
          <w:szCs w:val="28"/>
          <w:lang w:val="uk-UA"/>
        </w:rPr>
        <w:t>з наданням робочого місця у м. Києві</w:t>
      </w:r>
      <w:r w:rsidRPr="00480AF4">
        <w:rPr>
          <w:b/>
          <w:sz w:val="28"/>
          <w:szCs w:val="28"/>
          <w:lang w:val="uk-U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B22AB6" w:rsidRPr="00846C1B" w:rsidTr="0048026C">
        <w:tc>
          <w:tcPr>
            <w:tcW w:w="4480" w:type="dxa"/>
            <w:shd w:val="clear" w:color="auto" w:fill="auto"/>
          </w:tcPr>
          <w:p w:rsidR="00B22AB6" w:rsidRPr="00846C1B" w:rsidRDefault="00B22AB6" w:rsidP="0048026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B22AB6" w:rsidRPr="00846C1B" w:rsidRDefault="00B22AB6" w:rsidP="0048026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AB6" w:rsidRPr="005E0B9A" w:rsidTr="0048026C">
        <w:tc>
          <w:tcPr>
            <w:tcW w:w="4480" w:type="dxa"/>
            <w:shd w:val="clear" w:color="auto" w:fill="auto"/>
          </w:tcPr>
          <w:p w:rsidR="00B22AB6" w:rsidRPr="00846C1B" w:rsidRDefault="00B22AB6" w:rsidP="0048026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B22AB6" w:rsidRDefault="00B22AB6" w:rsidP="0048026C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22AB6" w:rsidRPr="00846C1B" w:rsidTr="0048026C">
        <w:tc>
          <w:tcPr>
            <w:tcW w:w="4480" w:type="dxa"/>
            <w:shd w:val="clear" w:color="auto" w:fill="auto"/>
          </w:tcPr>
          <w:p w:rsidR="00B22AB6" w:rsidRPr="00846C1B" w:rsidRDefault="00B22AB6" w:rsidP="0048026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B22AB6" w:rsidRPr="00C052EB" w:rsidRDefault="00B22AB6" w:rsidP="0048026C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B22AB6" w:rsidRDefault="00B22AB6" w:rsidP="0048026C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B22AB6" w:rsidRPr="00C052EB" w:rsidRDefault="00B22AB6" w:rsidP="0048026C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B22AB6" w:rsidRPr="00C052EB" w:rsidRDefault="00B22AB6" w:rsidP="0048026C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B22AB6" w:rsidRPr="00846C1B" w:rsidTr="0048026C">
        <w:tc>
          <w:tcPr>
            <w:tcW w:w="4480" w:type="dxa"/>
            <w:shd w:val="clear" w:color="auto" w:fill="auto"/>
          </w:tcPr>
          <w:p w:rsidR="00B22AB6" w:rsidRPr="00846C1B" w:rsidRDefault="00B22AB6" w:rsidP="0048026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B22AB6" w:rsidRPr="00846C1B" w:rsidRDefault="00B22AB6" w:rsidP="0048026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AB6" w:rsidRPr="00846C1B" w:rsidTr="0048026C">
        <w:tc>
          <w:tcPr>
            <w:tcW w:w="4480" w:type="dxa"/>
            <w:shd w:val="clear" w:color="auto" w:fill="auto"/>
          </w:tcPr>
          <w:p w:rsidR="00B22AB6" w:rsidRPr="00846C1B" w:rsidRDefault="00B22AB6" w:rsidP="0048026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B22AB6" w:rsidRDefault="00B22AB6" w:rsidP="0048026C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березня 2024 року</w:t>
            </w:r>
          </w:p>
        </w:tc>
      </w:tr>
    </w:tbl>
    <w:p w:rsidR="00B22AB6" w:rsidRPr="008E047B" w:rsidRDefault="00B22AB6" w:rsidP="00B22AB6">
      <w:pPr>
        <w:jc w:val="center"/>
        <w:rPr>
          <w:b/>
          <w:sz w:val="16"/>
          <w:szCs w:val="16"/>
          <w:lang w:val="uk-UA"/>
        </w:rPr>
      </w:pPr>
    </w:p>
    <w:tbl>
      <w:tblPr>
        <w:tblW w:w="571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84"/>
        <w:gridCol w:w="6642"/>
        <w:gridCol w:w="10"/>
      </w:tblGrid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  <w:vAlign w:val="center"/>
          </w:tcPr>
          <w:p w:rsidR="00B22AB6" w:rsidRPr="00846C1B" w:rsidRDefault="00B22AB6" w:rsidP="0048026C">
            <w:pPr>
              <w:ind w:left="9"/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826" w:type="dxa"/>
            <w:gridSpan w:val="2"/>
            <w:shd w:val="clear" w:color="auto" w:fill="auto"/>
            <w:vAlign w:val="center"/>
          </w:tcPr>
          <w:p w:rsidR="00B22AB6" w:rsidRDefault="00B22AB6" w:rsidP="0048026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B22AB6" w:rsidRPr="00846C1B" w:rsidRDefault="00B22AB6" w:rsidP="0048026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642" w:type="dxa"/>
            <w:shd w:val="clear" w:color="auto" w:fill="auto"/>
          </w:tcPr>
          <w:p w:rsidR="00B22AB6" w:rsidRPr="00394308" w:rsidRDefault="00B22AB6" w:rsidP="0048026C">
            <w:pPr>
              <w:tabs>
                <w:tab w:val="left" w:pos="312"/>
              </w:tabs>
              <w:rPr>
                <w:lang w:val="uk-UA"/>
              </w:rPr>
            </w:pPr>
            <w:r w:rsidRPr="00F50BFC">
              <w:rPr>
                <w:lang w:val="uk-UA"/>
              </w:rPr>
              <w:t>Національне антикорупційне бюро України                                  (далі – Національне бюро)</w:t>
            </w:r>
          </w:p>
        </w:tc>
      </w:tr>
      <w:tr w:rsidR="00B22AB6" w:rsidRPr="00846C1B" w:rsidTr="0048026C">
        <w:trPr>
          <w:gridAfter w:val="1"/>
          <w:wAfter w:w="10" w:type="dxa"/>
          <w:trHeight w:val="512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642" w:type="dxa"/>
            <w:shd w:val="clear" w:color="auto" w:fill="auto"/>
          </w:tcPr>
          <w:p w:rsidR="00B22AB6" w:rsidRPr="002E1979" w:rsidRDefault="00B22AB6" w:rsidP="0048026C">
            <w:pPr>
              <w:rPr>
                <w:lang w:val="uk-UA"/>
              </w:rPr>
            </w:pPr>
            <w:r w:rsidRPr="007804A5">
              <w:rPr>
                <w:lang w:val="uk-UA"/>
              </w:rPr>
              <w:t>Підрозділ детективів організаційно-аналітичного забезпечення та стратегічного розвитку</w:t>
            </w:r>
          </w:p>
        </w:tc>
      </w:tr>
      <w:tr w:rsidR="00B22AB6" w:rsidRPr="0049489A" w:rsidTr="0048026C">
        <w:trPr>
          <w:gridAfter w:val="1"/>
          <w:wAfter w:w="10" w:type="dxa"/>
          <w:trHeight w:val="309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642" w:type="dxa"/>
            <w:shd w:val="clear" w:color="auto" w:fill="auto"/>
          </w:tcPr>
          <w:p w:rsidR="00B22AB6" w:rsidRPr="004C1DAA" w:rsidRDefault="00B22AB6" w:rsidP="0049489A">
            <w:pPr>
              <w:rPr>
                <w:lang w:val="uk-UA"/>
              </w:rPr>
            </w:pPr>
            <w:r w:rsidRPr="00B22AB6">
              <w:rPr>
                <w:lang w:val="uk-UA"/>
              </w:rPr>
              <w:t>Заступник керівника Підрозділу детективів організаційно-аналітичного забезпечення та стратегічного розвитку – керівник відділу аналітично-методичної роботи та стратегічного розвитку підрозділів детективів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642" w:type="dxa"/>
            <w:shd w:val="clear" w:color="auto" w:fill="auto"/>
          </w:tcPr>
          <w:p w:rsidR="00B22AB6" w:rsidRPr="0025672E" w:rsidRDefault="00B22AB6" w:rsidP="0048026C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B22AB6" w:rsidRPr="0049489A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642" w:type="dxa"/>
            <w:shd w:val="clear" w:color="auto" w:fill="auto"/>
          </w:tcPr>
          <w:p w:rsidR="00B22AB6" w:rsidRPr="00F45113" w:rsidRDefault="00B22AB6" w:rsidP="00B22AB6">
            <w:pPr>
              <w:jc w:val="both"/>
              <w:rPr>
                <w:lang w:val="uk-UA"/>
              </w:rPr>
            </w:pPr>
            <w:r w:rsidRPr="00F50BFC">
              <w:rPr>
                <w:lang w:val="uk-UA"/>
              </w:rPr>
              <w:t xml:space="preserve">Забезпечення ефективної діяльності підлеглих працівників, направленої на </w:t>
            </w:r>
            <w:r>
              <w:rPr>
                <w:lang w:val="uk-UA"/>
              </w:rPr>
              <w:t xml:space="preserve">аналітично-методичне </w:t>
            </w:r>
            <w:r w:rsidRPr="007804A5">
              <w:rPr>
                <w:lang w:val="uk-UA"/>
              </w:rPr>
              <w:t>забезпечення та стратегічн</w:t>
            </w:r>
            <w:r>
              <w:rPr>
                <w:lang w:val="uk-UA"/>
              </w:rPr>
              <w:t>ий</w:t>
            </w:r>
            <w:r w:rsidRPr="007804A5">
              <w:rPr>
                <w:lang w:val="uk-UA"/>
              </w:rPr>
              <w:t xml:space="preserve"> розвит</w:t>
            </w:r>
            <w:r>
              <w:rPr>
                <w:lang w:val="uk-UA"/>
              </w:rPr>
              <w:t xml:space="preserve">ок головних підрозділів детективів Національного бюро, а також вжиття заходів із </w:t>
            </w:r>
            <w:r w:rsidRPr="00F45113">
              <w:rPr>
                <w:lang w:val="uk-UA"/>
              </w:rPr>
              <w:t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642" w:type="dxa"/>
            <w:shd w:val="clear" w:color="auto" w:fill="auto"/>
          </w:tcPr>
          <w:p w:rsidR="00B22AB6" w:rsidRPr="00803564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 w:rsidRPr="00803564">
              <w:rPr>
                <w:lang w:val="uk-UA"/>
              </w:rPr>
              <w:t xml:space="preserve">здійснення організації роботи та керівництво підлеглими працівниками, у т.ч. </w:t>
            </w:r>
            <w:r>
              <w:rPr>
                <w:lang w:val="uk-UA"/>
              </w:rPr>
              <w:t>к</w:t>
            </w:r>
            <w:r w:rsidRPr="00803564">
              <w:rPr>
                <w:lang w:val="uk-UA"/>
              </w:rPr>
              <w:t>онтроль за станом виконання завдань та обов’язків підлеглими працівниками, дотримання</w:t>
            </w:r>
            <w:r>
              <w:rPr>
                <w:lang w:val="uk-UA"/>
              </w:rPr>
              <w:t>м</w:t>
            </w:r>
            <w:r w:rsidRPr="00803564">
              <w:rPr>
                <w:lang w:val="uk-UA"/>
              </w:rPr>
              <w:t xml:space="preserve"> законності, а також контроль за дотриманням підлеглими працівниками виконавської та трудової дисципліни;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3" w:hanging="283"/>
              <w:contextualSpacing/>
              <w:jc w:val="both"/>
              <w:rPr>
                <w:lang w:val="uk-UA"/>
              </w:rPr>
            </w:pPr>
            <w:r w:rsidRPr="00F50BFC">
              <w:rPr>
                <w:lang w:val="uk-UA"/>
              </w:rPr>
              <w:t xml:space="preserve">узагальнення досвіду у сфері протидії корупційним кримінальним правопорушенням, </w:t>
            </w:r>
            <w:r>
              <w:rPr>
                <w:lang w:val="uk-UA"/>
              </w:rPr>
              <w:t xml:space="preserve">у т.ч. міжнародного, </w:t>
            </w:r>
            <w:r w:rsidRPr="00F50BFC">
              <w:rPr>
                <w:lang w:val="uk-UA"/>
              </w:rPr>
              <w:t>розроблення методичних реком</w:t>
            </w:r>
            <w:r>
              <w:rPr>
                <w:lang w:val="uk-UA"/>
              </w:rPr>
              <w:t>ендацій і посібників;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3" w:hanging="283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аналіз судової практики у сфері протидії корупції, підготовка та поширення її оглядів та узагальнень;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3" w:hanging="283"/>
              <w:contextualSpacing/>
              <w:jc w:val="both"/>
              <w:rPr>
                <w:lang w:val="uk-UA"/>
              </w:rPr>
            </w:pPr>
            <w:r w:rsidRPr="00F50BFC">
              <w:rPr>
                <w:lang w:val="uk-UA"/>
              </w:rPr>
              <w:t xml:space="preserve">аналіз стану чинників, що обумовлюють корупцію; розроблення та внесення пропозицій Директору, Першому заступнику Директора Національного бюро щодо організації діяльності </w:t>
            </w:r>
            <w:r>
              <w:rPr>
                <w:lang w:val="uk-UA"/>
              </w:rPr>
              <w:t>Національного бюро у розрізі компетенції головних підрозділів детективів;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3" w:hanging="283"/>
              <w:contextualSpacing/>
              <w:jc w:val="both"/>
              <w:rPr>
                <w:lang w:val="uk-UA"/>
              </w:rPr>
            </w:pPr>
            <w:r w:rsidRPr="00154915">
              <w:rPr>
                <w:lang w:val="uk-UA"/>
              </w:rPr>
              <w:t>участь у розробці змін до кримінального, кримінального процесуального та іншого законодавства з метою удосконалення методів та форм протидії корупції, дотримання відповідних міжнародних стандартів та норм;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 xml:space="preserve">аналіз отриманої (здобутої) інформації на предмет наявності ознак </w:t>
            </w:r>
            <w:r>
              <w:rPr>
                <w:lang w:val="uk-UA"/>
              </w:rPr>
              <w:t>кримінального правопорушення</w:t>
            </w:r>
            <w:r w:rsidRPr="00F45113">
              <w:rPr>
                <w:lang w:val="uk-UA"/>
              </w:rPr>
              <w:t xml:space="preserve">, що належить до підслідності детективів Національного бюро, </w:t>
            </w:r>
            <w:r w:rsidRPr="00F45113">
              <w:rPr>
                <w:lang w:val="uk-UA"/>
              </w:rPr>
              <w:lastRenderedPageBreak/>
              <w:t>прийняття по ній рішення відповідно до статті 214 КПК України;</w:t>
            </w:r>
            <w:r w:rsidRPr="00F45113" w:rsidDel="004B0B99">
              <w:rPr>
                <w:lang w:val="uk-UA"/>
              </w:rPr>
              <w:t xml:space="preserve"> 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та затримання осіб, які переховуються від органів розслідування чи суду</w:t>
            </w:r>
            <w:r>
              <w:rPr>
                <w:lang w:val="uk-UA"/>
              </w:rPr>
              <w:t>, виявлення майна, до якого може бути застосована конфіскація (спеціальна конфіскація)</w:t>
            </w:r>
            <w:r w:rsidRPr="00F45113">
              <w:rPr>
                <w:lang w:val="uk-UA"/>
              </w:rPr>
              <w:t>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 xml:space="preserve">здійснення оперативно-розшукових </w:t>
            </w:r>
            <w:r>
              <w:rPr>
                <w:lang w:val="uk-UA"/>
              </w:rPr>
              <w:t>заходів з метою та за наявності підстав, передбачених Законом України «Про оперативно-розшукову діяльність»</w:t>
            </w:r>
            <w:r w:rsidRPr="00F45113">
              <w:rPr>
                <w:lang w:val="uk-UA"/>
              </w:rPr>
              <w:t>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>встановлення причини та умови, які сприяли вчиненню корупційних злочинів, вжиття захо</w:t>
            </w:r>
            <w:r>
              <w:rPr>
                <w:lang w:val="uk-UA"/>
              </w:rPr>
              <w:t>дів, направлених на їх усунення;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участь в організації міжнародного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розслідування, а також міжнародного поліцейського співробітництва;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координації взаємодії підрозділів детективів з іншими правоохоронними органами з питань проведення оперативно-розшукових заходів та досудових розслідувань;</w:t>
            </w:r>
          </w:p>
          <w:p w:rsidR="00B22AB6" w:rsidRDefault="00B22AB6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розробці та виконанні програм оцінки працівників, мотиваційних програм для працівників, програм підбору та розвитку працівників;</w:t>
            </w:r>
          </w:p>
          <w:p w:rsidR="00B22AB6" w:rsidRPr="00F45113" w:rsidRDefault="0049489A" w:rsidP="00B22AB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підготовки</w:t>
            </w:r>
            <w:r w:rsidR="00B22AB6">
              <w:rPr>
                <w:lang w:val="uk-UA"/>
              </w:rPr>
              <w:t xml:space="preserve"> статистичної звітності про роботу </w:t>
            </w:r>
            <w:r>
              <w:rPr>
                <w:lang w:val="uk-UA"/>
              </w:rPr>
              <w:t xml:space="preserve">головних </w:t>
            </w:r>
            <w:r w:rsidR="00B22AB6">
              <w:rPr>
                <w:lang w:val="uk-UA"/>
              </w:rPr>
              <w:t>підрозділів детективів</w:t>
            </w:r>
            <w:r>
              <w:rPr>
                <w:lang w:val="uk-UA"/>
              </w:rPr>
              <w:t>, а також аналітичних матеріалів з питань їх діяльності.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  <w:vAlign w:val="center"/>
          </w:tcPr>
          <w:p w:rsidR="00B22AB6" w:rsidRPr="00846C1B" w:rsidRDefault="00B22AB6" w:rsidP="0048026C">
            <w:pPr>
              <w:ind w:left="9"/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826" w:type="dxa"/>
            <w:gridSpan w:val="2"/>
            <w:shd w:val="clear" w:color="auto" w:fill="auto"/>
            <w:vAlign w:val="center"/>
          </w:tcPr>
          <w:p w:rsidR="00B22AB6" w:rsidRPr="00846C1B" w:rsidRDefault="00B22AB6" w:rsidP="004802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B22AB6" w:rsidRPr="00846C1B" w:rsidTr="0048026C">
        <w:tc>
          <w:tcPr>
            <w:tcW w:w="10671" w:type="dxa"/>
            <w:gridSpan w:val="4"/>
            <w:shd w:val="clear" w:color="auto" w:fill="auto"/>
          </w:tcPr>
          <w:p w:rsidR="00B22AB6" w:rsidRPr="00846C1B" w:rsidRDefault="00B22AB6" w:rsidP="00B22AB6">
            <w:pPr>
              <w:numPr>
                <w:ilvl w:val="0"/>
                <w:numId w:val="2"/>
              </w:numPr>
              <w:ind w:left="9" w:firstLine="0"/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vMerge w:val="restart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846C1B">
              <w:rPr>
                <w:lang w:val="uk-UA"/>
              </w:rPr>
              <w:t>.1.</w:t>
            </w:r>
            <w:r>
              <w:rPr>
                <w:lang w:val="uk-UA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642" w:type="dxa"/>
            <w:shd w:val="clear" w:color="auto" w:fill="auto"/>
          </w:tcPr>
          <w:p w:rsidR="00B22AB6" w:rsidRPr="002E1979" w:rsidRDefault="00B22AB6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vMerge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lang w:val="uk-UA"/>
              </w:rPr>
            </w:pP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642" w:type="dxa"/>
            <w:shd w:val="clear" w:color="auto" w:fill="auto"/>
          </w:tcPr>
          <w:p w:rsidR="00B22AB6" w:rsidRPr="004C060A" w:rsidRDefault="00B22AB6" w:rsidP="0048026C">
            <w:pPr>
              <w:jc w:val="both"/>
              <w:rPr>
                <w:lang w:val="uk-UA"/>
              </w:rPr>
            </w:pPr>
            <w:r w:rsidRPr="004C060A">
              <w:rPr>
                <w:lang w:val="uk-UA"/>
              </w:rPr>
              <w:t xml:space="preserve">Магістр (спеціаліст), бакалавр (дипломований </w:t>
            </w:r>
            <w:r>
              <w:rPr>
                <w:lang w:val="uk-UA"/>
              </w:rPr>
              <w:t>з</w:t>
            </w:r>
            <w:r w:rsidRPr="004C060A">
              <w:rPr>
                <w:lang w:val="uk-UA"/>
              </w:rPr>
              <w:t xml:space="preserve"> 201</w:t>
            </w:r>
            <w:r>
              <w:rPr>
                <w:lang w:val="uk-UA"/>
              </w:rPr>
              <w:t>6</w:t>
            </w:r>
            <w:r w:rsidRPr="004C060A">
              <w:rPr>
                <w:lang w:val="uk-UA"/>
              </w:rPr>
              <w:t xml:space="preserve"> р.)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Pr="00846C1B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1.2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642" w:type="dxa"/>
            <w:shd w:val="clear" w:color="auto" w:fill="auto"/>
          </w:tcPr>
          <w:p w:rsidR="00B22AB6" w:rsidRPr="002E1979" w:rsidRDefault="00B22AB6" w:rsidP="0049489A">
            <w:pPr>
              <w:jc w:val="both"/>
              <w:rPr>
                <w:lang w:val="uk-UA"/>
              </w:rPr>
            </w:pPr>
            <w:r w:rsidRPr="000C0FD1">
              <w:rPr>
                <w:shd w:val="clear" w:color="auto" w:fill="FFFFFF"/>
                <w:lang w:val="uk-UA"/>
              </w:rPr>
              <w:t>Стаж роботи, пов’язаної з проведенням оперативно-розшукової діяль</w:t>
            </w:r>
            <w:r>
              <w:rPr>
                <w:shd w:val="clear" w:color="auto" w:fill="FFFFFF"/>
                <w:lang w:val="uk-UA"/>
              </w:rPr>
              <w:t>ності,</w:t>
            </w:r>
            <w:r w:rsidRPr="000C0FD1">
              <w:rPr>
                <w:shd w:val="clear" w:color="auto" w:fill="FFFFFF"/>
                <w:lang w:val="uk-UA"/>
              </w:rPr>
              <w:t xml:space="preserve"> досудового розслідування </w:t>
            </w:r>
            <w:r>
              <w:rPr>
                <w:shd w:val="clear" w:color="auto" w:fill="FFFFFF"/>
                <w:lang w:val="uk-UA"/>
              </w:rPr>
              <w:t xml:space="preserve">та/або процесуального керівництва </w:t>
            </w:r>
            <w:r w:rsidRPr="000C0FD1">
              <w:rPr>
                <w:shd w:val="clear" w:color="auto" w:fill="FFFFFF"/>
                <w:lang w:val="uk-UA"/>
              </w:rPr>
              <w:t xml:space="preserve">не менше </w:t>
            </w:r>
            <w:r w:rsidR="0049489A">
              <w:rPr>
                <w:shd w:val="clear" w:color="auto" w:fill="FFFFFF"/>
                <w:lang w:val="uk-UA"/>
              </w:rPr>
              <w:t>семи</w:t>
            </w:r>
            <w:r w:rsidRPr="000C0FD1">
              <w:rPr>
                <w:shd w:val="clear" w:color="auto" w:fill="FFFFFF"/>
                <w:lang w:val="uk-UA"/>
              </w:rPr>
              <w:t xml:space="preserve"> років, з них на керівних посадах – не менше </w:t>
            </w:r>
            <w:r w:rsidR="0049489A">
              <w:rPr>
                <w:shd w:val="clear" w:color="auto" w:fill="FFFFFF"/>
                <w:lang w:val="uk-UA"/>
              </w:rPr>
              <w:t xml:space="preserve">трьох </w:t>
            </w:r>
            <w:r w:rsidRPr="000C0FD1">
              <w:rPr>
                <w:shd w:val="clear" w:color="auto" w:fill="FFFFFF"/>
                <w:lang w:val="uk-UA"/>
              </w:rPr>
              <w:t xml:space="preserve">років та/або </w:t>
            </w:r>
            <w:r w:rsidRPr="000C0FD1">
              <w:rPr>
                <w:spacing w:val="-6"/>
                <w:shd w:val="clear" w:color="auto" w:fill="FFFFFF"/>
                <w:lang w:val="uk-UA"/>
              </w:rPr>
              <w:t>стаж роботи в Головному підрозділі детективів,</w:t>
            </w:r>
            <w:r w:rsidRPr="000C0FD1">
              <w:rPr>
                <w:shd w:val="clear" w:color="auto" w:fill="FFFFFF"/>
                <w:lang w:val="uk-UA"/>
              </w:rPr>
              <w:t xml:space="preserve"> Управлінні внутрішнього контролю</w:t>
            </w:r>
            <w:r w:rsidRPr="000C0FD1">
              <w:rPr>
                <w:spacing w:val="-6"/>
                <w:shd w:val="clear" w:color="auto" w:fill="FFFFFF"/>
                <w:lang w:val="uk-UA"/>
              </w:rPr>
              <w:t xml:space="preserve"> Національного антикорупційного</w:t>
            </w:r>
            <w:r w:rsidRPr="000C0FD1">
              <w:rPr>
                <w:shd w:val="clear" w:color="auto" w:fill="FFFFFF"/>
                <w:lang w:val="uk-UA"/>
              </w:rPr>
              <w:t xml:space="preserve"> </w:t>
            </w:r>
            <w:r w:rsidRPr="000C0FD1">
              <w:rPr>
                <w:spacing w:val="-6"/>
                <w:shd w:val="clear" w:color="auto" w:fill="FFFFFF"/>
                <w:lang w:val="uk-UA"/>
              </w:rPr>
              <w:t xml:space="preserve">бюро України не менше </w:t>
            </w:r>
            <w:r w:rsidRPr="00B40D37">
              <w:rPr>
                <w:spacing w:val="-6"/>
                <w:shd w:val="clear" w:color="auto" w:fill="FFFFFF"/>
                <w:lang w:val="uk-UA"/>
              </w:rPr>
              <w:t>трьох</w:t>
            </w:r>
            <w:r w:rsidRPr="000C0FD1">
              <w:rPr>
                <w:spacing w:val="-6"/>
                <w:shd w:val="clear" w:color="auto" w:fill="FFFFFF"/>
                <w:lang w:val="uk-UA"/>
              </w:rPr>
              <w:t xml:space="preserve"> рок</w:t>
            </w:r>
            <w:r>
              <w:rPr>
                <w:spacing w:val="-6"/>
                <w:shd w:val="clear" w:color="auto" w:fill="FFFFFF"/>
                <w:lang w:val="uk-UA"/>
              </w:rPr>
              <w:t>ів.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Del="00E7634A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Pr="00846C1B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1.</w:t>
            </w:r>
            <w:r w:rsidRPr="00846C1B">
              <w:rPr>
                <w:caps/>
                <w:lang w:val="uk-UA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Del="00E7634A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642" w:type="dxa"/>
            <w:shd w:val="clear" w:color="auto" w:fill="auto"/>
          </w:tcPr>
          <w:p w:rsidR="00B22AB6" w:rsidRPr="002078C0" w:rsidRDefault="00B22AB6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22AB6" w:rsidRPr="0049489A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642" w:type="dxa"/>
            <w:shd w:val="clear" w:color="auto" w:fill="auto"/>
          </w:tcPr>
          <w:p w:rsidR="00B22AB6" w:rsidRPr="000C0FD1" w:rsidRDefault="00B22AB6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F87430" w:rsidRDefault="00B22AB6" w:rsidP="0048026C">
            <w:pPr>
              <w:ind w:left="9"/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:rsidR="00B22AB6" w:rsidRDefault="00B22AB6" w:rsidP="0048026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42" w:type="dxa"/>
            <w:shd w:val="clear" w:color="auto" w:fill="auto"/>
          </w:tcPr>
          <w:p w:rsidR="00B22AB6" w:rsidRPr="00394308" w:rsidRDefault="00B22AB6" w:rsidP="0048026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43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B22AB6" w:rsidRPr="00846C1B" w:rsidTr="0048026C">
        <w:tc>
          <w:tcPr>
            <w:tcW w:w="10671" w:type="dxa"/>
            <w:gridSpan w:val="4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B22AB6" w:rsidRPr="002E1979" w:rsidRDefault="00B22AB6" w:rsidP="0048026C">
            <w:pPr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642" w:type="dxa"/>
            <w:shd w:val="clear" w:color="auto" w:fill="auto"/>
          </w:tcPr>
          <w:p w:rsidR="00B22AB6" w:rsidRPr="002E1979" w:rsidRDefault="00B22AB6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діяльність)</w:t>
            </w:r>
          </w:p>
        </w:tc>
      </w:tr>
      <w:tr w:rsidR="00B22AB6" w:rsidRPr="0049489A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  <w:r>
              <w:rPr>
                <w:caps/>
                <w:lang w:val="uk-UA"/>
              </w:rPr>
              <w:t>.2</w:t>
            </w:r>
          </w:p>
        </w:tc>
        <w:tc>
          <w:tcPr>
            <w:tcW w:w="3184" w:type="dxa"/>
            <w:shd w:val="clear" w:color="auto" w:fill="auto"/>
          </w:tcPr>
          <w:p w:rsidR="00B22AB6" w:rsidRDefault="00B22AB6" w:rsidP="0048026C">
            <w:pPr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642" w:type="dxa"/>
            <w:shd w:val="clear" w:color="auto" w:fill="auto"/>
          </w:tcPr>
          <w:p w:rsidR="00B22AB6" w:rsidRPr="004F2DB1" w:rsidRDefault="00B22AB6" w:rsidP="0048026C">
            <w:pPr>
              <w:jc w:val="both"/>
              <w:rPr>
                <w:i/>
                <w:highlight w:val="yellow"/>
                <w:lang w:val="uk-UA"/>
              </w:rPr>
            </w:pPr>
            <w:r w:rsidRPr="009329B1">
              <w:rPr>
                <w:lang w:val="uk-UA"/>
              </w:rPr>
              <w:t xml:space="preserve">Досвід складання процесуальних документів згідно з чинним Кримінальним процесуальним кодексом України; проведення слідчих (розшукових) та негласних слідчих (розшукових) дій </w:t>
            </w:r>
            <w:r w:rsidRPr="009329B1">
              <w:rPr>
                <w:lang w:val="uk-UA"/>
              </w:rPr>
              <w:lastRenderedPageBreak/>
              <w:t>згідно з чинним Кримінальним процесуальним кодексом України.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2.2.3</w:t>
            </w:r>
          </w:p>
        </w:tc>
        <w:tc>
          <w:tcPr>
            <w:tcW w:w="3184" w:type="dxa"/>
            <w:shd w:val="clear" w:color="auto" w:fill="auto"/>
          </w:tcPr>
          <w:p w:rsidR="00B22AB6" w:rsidRDefault="00B22AB6" w:rsidP="0048026C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Конституція України; 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процесуальний кодекс України;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кодекс України;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оперативно-розшукову діяльність»;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запобігання корупції»;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таємницю»;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України від 29.07.1991 №114;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норми міжнародного законодавства з питань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jc w:val="both"/>
            </w:pPr>
            <w:r>
              <w:t xml:space="preserve">норми службової, професійної етики і загальні принципи службової поведінки </w:t>
            </w:r>
            <w:r>
              <w:rPr>
                <w:lang w:val="uk-UA"/>
              </w:rPr>
              <w:t>осіб, уповноважених на виконання функцій держави та місцевого самоврядування</w:t>
            </w:r>
            <w:r>
              <w:t>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</w:pPr>
            <w:r>
              <w:rPr>
                <w:lang w:val="uk-UA"/>
              </w:rPr>
              <w:t xml:space="preserve">міжнародні стандарти дотримання прав людини та </w:t>
            </w:r>
            <w:r>
              <w:rPr>
                <w:color w:val="333333"/>
                <w:lang w:val="uk-UA"/>
              </w:rPr>
              <w:t>основоположних свобод</w:t>
            </w:r>
            <w:r>
              <w:rPr>
                <w:lang w:val="uk-UA"/>
              </w:rPr>
              <w:t>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2.2.4</w:t>
            </w:r>
          </w:p>
        </w:tc>
        <w:tc>
          <w:tcPr>
            <w:tcW w:w="3184" w:type="dxa"/>
            <w:shd w:val="clear" w:color="auto" w:fill="auto"/>
          </w:tcPr>
          <w:p w:rsidR="00B22AB6" w:rsidRPr="00F45113" w:rsidRDefault="00B22AB6" w:rsidP="0048026C">
            <w:pPr>
              <w:ind w:right="-3"/>
              <w:rPr>
                <w:highlight w:val="yellow"/>
                <w:lang w:val="uk-UA"/>
              </w:rPr>
            </w:pPr>
            <w:r w:rsidRPr="004C060A">
              <w:rPr>
                <w:lang w:val="uk-UA"/>
              </w:rPr>
              <w:t>Професійні знання (відповідно до посади                       з урахуванням вимог спеціальних законів)</w:t>
            </w:r>
          </w:p>
        </w:tc>
        <w:tc>
          <w:tcPr>
            <w:tcW w:w="6642" w:type="dxa"/>
            <w:shd w:val="clear" w:color="auto" w:fill="auto"/>
          </w:tcPr>
          <w:p w:rsidR="00B22AB6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CA70AF">
              <w:rPr>
                <w:lang w:val="uk-UA"/>
              </w:rPr>
              <w:t xml:space="preserve">здатність організовувати </w:t>
            </w:r>
            <w:r>
              <w:rPr>
                <w:lang w:val="uk-UA"/>
              </w:rPr>
              <w:t>ефективну роботу колективу;</w:t>
            </w:r>
          </w:p>
          <w:p w:rsidR="00B22AB6" w:rsidRPr="009329B1" w:rsidRDefault="00D57168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добре</w:t>
            </w:r>
            <w:r w:rsidR="00B22AB6" w:rsidRPr="009329B1">
              <w:rPr>
                <w:lang w:val="uk-UA"/>
              </w:rPr>
              <w:t xml:space="preserve"> знання кримінального та кримінального процесуального права; </w:t>
            </w:r>
          </w:p>
          <w:p w:rsidR="00B22AB6" w:rsidRPr="009329B1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володіння навичками проведення аналітичної, статистичної роботи, складання відповідних документів за результатами такої роботи (аналітичні довідки, звіти, огляди тощо);</w:t>
            </w:r>
          </w:p>
          <w:p w:rsidR="00B22AB6" w:rsidRPr="009329B1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комп’ютерні програми законодавчо-правового профілю типу «Ліга:Закон», баз даних органів юстиції України;</w:t>
            </w:r>
          </w:p>
          <w:p w:rsidR="00B22AB6" w:rsidRPr="009329B1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ind w:left="357" w:hanging="357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досвід самостійного здійснення досудового розслідування, оперативно-розшукової діяльності та/або процесуального керівництва досудовим розслідуванням;</w:t>
            </w:r>
          </w:p>
          <w:p w:rsidR="00B22AB6" w:rsidRPr="009329B1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ind w:left="357" w:hanging="357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знання методів збору та аналізу інформації, підготовки аналітичної документації, досвід роботи із відповідним програмним забезпеченням;</w:t>
            </w:r>
          </w:p>
          <w:p w:rsidR="00B22AB6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ind w:left="357" w:hanging="357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уміння та навички організації проведення досудового розслідування кримінальних проваджень, оперативно-розшукової діяльності;</w:t>
            </w:r>
          </w:p>
          <w:p w:rsidR="00B22AB6" w:rsidRPr="009329B1" w:rsidRDefault="00B22AB6" w:rsidP="00B22AB6">
            <w:pPr>
              <w:widowControl w:val="0"/>
              <w:numPr>
                <w:ilvl w:val="0"/>
                <w:numId w:val="6"/>
              </w:numPr>
              <w:suppressAutoHyphens/>
              <w:ind w:left="357" w:hanging="357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знання методі</w:t>
            </w:r>
            <w:r>
              <w:rPr>
                <w:lang w:val="uk-UA"/>
              </w:rPr>
              <w:t>в криміналістичного дослідження;</w:t>
            </w:r>
          </w:p>
          <w:p w:rsidR="00B22AB6" w:rsidRPr="009329B1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знання </w:t>
            </w:r>
            <w:r w:rsidRPr="00377790">
              <w:rPr>
                <w:lang w:val="uk-UA"/>
              </w:rPr>
              <w:t>поряд</w:t>
            </w:r>
            <w:r>
              <w:rPr>
                <w:lang w:val="uk-UA"/>
              </w:rPr>
              <w:t>ку</w:t>
            </w:r>
            <w:r w:rsidRPr="00377790">
              <w:rPr>
                <w:lang w:val="uk-UA"/>
              </w:rPr>
              <w:t xml:space="preserve"> роботи з</w:t>
            </w:r>
            <w:r>
              <w:rPr>
                <w:lang w:val="uk-UA"/>
              </w:rPr>
              <w:t xml:space="preserve"> інформацією з обмеженим доступом.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3184" w:type="dxa"/>
            <w:shd w:val="clear" w:color="auto" w:fill="auto"/>
          </w:tcPr>
          <w:p w:rsidR="00B22AB6" w:rsidRPr="002E1979" w:rsidRDefault="00B22AB6" w:rsidP="0048026C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642" w:type="dxa"/>
            <w:shd w:val="clear" w:color="auto" w:fill="auto"/>
          </w:tcPr>
          <w:p w:rsidR="00B22AB6" w:rsidRPr="000C0FD1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розвитку організаторських та лідерських якостей;</w:t>
            </w:r>
          </w:p>
          <w:p w:rsidR="00B22AB6" w:rsidRPr="000C0FD1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 xml:space="preserve">вміння здійснювати контроль за виконанням підлеглими працівниками своїх завдань та проводити відповідну оцінку виконання; </w:t>
            </w:r>
          </w:p>
          <w:p w:rsidR="00B22AB6" w:rsidRPr="000C0FD1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та планувати роботу;</w:t>
            </w:r>
          </w:p>
          <w:p w:rsidR="00B22AB6" w:rsidRPr="000C0FD1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забезпечувати координацію командної роботи;</w:t>
            </w:r>
          </w:p>
          <w:p w:rsidR="00B22AB6" w:rsidRPr="000C0FD1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делегувати повноваження підлеглим;</w:t>
            </w:r>
          </w:p>
          <w:p w:rsidR="00B22AB6" w:rsidRPr="00CA70AF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2.2.6</w:t>
            </w:r>
          </w:p>
        </w:tc>
        <w:tc>
          <w:tcPr>
            <w:tcW w:w="3184" w:type="dxa"/>
            <w:shd w:val="clear" w:color="auto" w:fill="auto"/>
          </w:tcPr>
          <w:p w:rsidR="00B22AB6" w:rsidRDefault="00B22AB6" w:rsidP="0048026C">
            <w:pPr>
              <w:ind w:right="-3"/>
              <w:rPr>
                <w:lang w:val="uk-UA"/>
              </w:rPr>
            </w:pPr>
            <w:r w:rsidRPr="00F45113">
              <w:rPr>
                <w:lang w:val="uk-UA"/>
              </w:rPr>
              <w:t>Прийняття ефективних рішень</w:t>
            </w:r>
          </w:p>
        </w:tc>
        <w:tc>
          <w:tcPr>
            <w:tcW w:w="6642" w:type="dxa"/>
            <w:shd w:val="clear" w:color="auto" w:fill="auto"/>
          </w:tcPr>
          <w:p w:rsidR="00B22AB6" w:rsidRPr="009329B1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вміння працювати з великими масивами інформації;</w:t>
            </w:r>
          </w:p>
          <w:p w:rsidR="00B22AB6" w:rsidRPr="009329B1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в умовах</w:t>
            </w:r>
            <w:r w:rsidRPr="009329B1">
              <w:rPr>
                <w:lang w:val="uk-UA"/>
              </w:rPr>
              <w:t xml:space="preserve"> багатозадачності;</w:t>
            </w:r>
          </w:p>
          <w:p w:rsidR="00B22AB6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вміння встановлювати цілі, пріоритети та орієнтири вміння працювати в команді та координувати роботу команди.</w:t>
            </w:r>
          </w:p>
          <w:p w:rsidR="00B22AB6" w:rsidRPr="009329B1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CA70AF">
              <w:rPr>
                <w:lang w:val="uk-UA"/>
              </w:rPr>
              <w:t>вміння здійснювати оцінку професійних якост</w:t>
            </w:r>
            <w:r>
              <w:rPr>
                <w:lang w:val="uk-UA"/>
              </w:rPr>
              <w:t>ей підлеглих і їх удосконалення</w:t>
            </w:r>
            <w:r w:rsidRPr="009329B1">
              <w:rPr>
                <w:lang w:val="uk-UA"/>
              </w:rPr>
              <w:t>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3184" w:type="dxa"/>
            <w:shd w:val="clear" w:color="auto" w:fill="auto"/>
          </w:tcPr>
          <w:p w:rsidR="00B22AB6" w:rsidRPr="00CC74DC" w:rsidRDefault="00B22AB6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F45113">
              <w:t>Комунікація та взаємодія</w:t>
            </w:r>
          </w:p>
        </w:tc>
        <w:tc>
          <w:tcPr>
            <w:tcW w:w="6642" w:type="dxa"/>
            <w:shd w:val="clear" w:color="auto" w:fill="auto"/>
          </w:tcPr>
          <w:p w:rsidR="00B22AB6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>комунікабельність;</w:t>
            </w:r>
          </w:p>
          <w:p w:rsidR="00B22AB6" w:rsidRPr="00F45113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розвинуті навички усного та письмового мовлення;</w:t>
            </w:r>
          </w:p>
          <w:p w:rsidR="00B22AB6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 xml:space="preserve">уміння використовувати </w:t>
            </w:r>
            <w:r>
              <w:rPr>
                <w:lang w:val="uk-UA"/>
              </w:rPr>
              <w:t xml:space="preserve">сучасні </w:t>
            </w:r>
            <w:r w:rsidRPr="00F45113">
              <w:rPr>
                <w:lang w:val="uk-UA"/>
              </w:rPr>
              <w:t>засоби зв’язку та комунікації</w:t>
            </w:r>
            <w:r>
              <w:rPr>
                <w:lang w:val="uk-UA"/>
              </w:rPr>
              <w:t>;</w:t>
            </w:r>
          </w:p>
          <w:p w:rsidR="00B22AB6" w:rsidRPr="002E1979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CA70AF">
              <w:rPr>
                <w:lang w:val="uk-UA"/>
              </w:rPr>
              <w:t>вміння запобігати та розв’язувати корпоративні конфлікти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</w:p>
        </w:tc>
        <w:tc>
          <w:tcPr>
            <w:tcW w:w="3184" w:type="dxa"/>
            <w:shd w:val="clear" w:color="auto" w:fill="auto"/>
          </w:tcPr>
          <w:p w:rsidR="00B22AB6" w:rsidRDefault="00B22AB6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>
              <w:t>Якісне виконання поставлених завдань</w:t>
            </w:r>
          </w:p>
        </w:tc>
        <w:tc>
          <w:tcPr>
            <w:tcW w:w="6642" w:type="dxa"/>
            <w:shd w:val="clear" w:color="auto" w:fill="auto"/>
          </w:tcPr>
          <w:p w:rsidR="00B22AB6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B22AB6" w:rsidRPr="005A48A0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розподіляти завдання серед виконавців;</w:t>
            </w:r>
          </w:p>
          <w:p w:rsidR="00B22AB6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чесність, відданість та відповідальність за доручену справу.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3184" w:type="dxa"/>
            <w:shd w:val="clear" w:color="auto" w:fill="FFFFFF"/>
          </w:tcPr>
          <w:p w:rsidR="00B22AB6" w:rsidRPr="004C060A" w:rsidRDefault="00B22AB6" w:rsidP="0048026C">
            <w:pPr>
              <w:rPr>
                <w:lang w:val="uk-UA" w:eastAsia="uk-UA"/>
              </w:rPr>
            </w:pPr>
            <w:r w:rsidRPr="004C060A">
              <w:rPr>
                <w:lang w:val="uk-UA"/>
              </w:rPr>
              <w:t>Командна робота та взаємодія</w:t>
            </w:r>
          </w:p>
        </w:tc>
        <w:tc>
          <w:tcPr>
            <w:tcW w:w="6642" w:type="dxa"/>
            <w:shd w:val="clear" w:color="auto" w:fill="FFFFFF"/>
          </w:tcPr>
          <w:p w:rsidR="00B22AB6" w:rsidRPr="000C0FD1" w:rsidRDefault="00B22AB6" w:rsidP="00B22AB6">
            <w:pPr>
              <w:numPr>
                <w:ilvl w:val="0"/>
                <w:numId w:val="4"/>
              </w:numPr>
              <w:spacing w:line="256" w:lineRule="auto"/>
              <w:ind w:left="30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і контролювати роботу підлеглих;</w:t>
            </w:r>
          </w:p>
          <w:p w:rsidR="00B22AB6" w:rsidRPr="000C0FD1" w:rsidRDefault="00B22AB6" w:rsidP="00B22AB6">
            <w:pPr>
              <w:numPr>
                <w:ilvl w:val="0"/>
                <w:numId w:val="4"/>
              </w:numPr>
              <w:spacing w:line="256" w:lineRule="auto"/>
              <w:ind w:left="30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команді та керувати командою; </w:t>
            </w:r>
          </w:p>
          <w:p w:rsidR="00B22AB6" w:rsidRPr="000C0FD1" w:rsidRDefault="00B22AB6" w:rsidP="00B22AB6">
            <w:pPr>
              <w:numPr>
                <w:ilvl w:val="0"/>
                <w:numId w:val="4"/>
              </w:numPr>
              <w:spacing w:line="256" w:lineRule="auto"/>
              <w:ind w:left="30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мотивувати підлеглих;</w:t>
            </w:r>
          </w:p>
          <w:p w:rsidR="00B22AB6" w:rsidRPr="000C0FD1" w:rsidRDefault="00B22AB6" w:rsidP="00B22AB6">
            <w:pPr>
              <w:numPr>
                <w:ilvl w:val="0"/>
                <w:numId w:val="4"/>
              </w:numPr>
              <w:spacing w:line="256" w:lineRule="auto"/>
              <w:ind w:left="30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здійснювати оцінку професійних якостей підлеглих і їх удосконалення;</w:t>
            </w:r>
          </w:p>
          <w:p w:rsidR="00B22AB6" w:rsidRPr="004C060A" w:rsidRDefault="00B22AB6" w:rsidP="00B22AB6">
            <w:pPr>
              <w:numPr>
                <w:ilvl w:val="0"/>
                <w:numId w:val="4"/>
              </w:numPr>
              <w:spacing w:line="256" w:lineRule="auto"/>
              <w:ind w:left="30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запобігати та розв’язувати конфлікти.</w:t>
            </w:r>
            <w:r w:rsidRPr="004C060A">
              <w:rPr>
                <w:lang w:val="uk-UA"/>
              </w:rPr>
              <w:t>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3184" w:type="dxa"/>
            <w:shd w:val="clear" w:color="auto" w:fill="auto"/>
          </w:tcPr>
          <w:p w:rsidR="00B22AB6" w:rsidRPr="004C060A" w:rsidRDefault="00B22AB6" w:rsidP="0048026C">
            <w:pPr>
              <w:rPr>
                <w:lang w:val="uk-UA"/>
              </w:rPr>
            </w:pPr>
            <w:r w:rsidRPr="004C060A">
              <w:rPr>
                <w:lang w:val="uk-UA"/>
              </w:rPr>
              <w:t>Сприйняття змін</w:t>
            </w:r>
          </w:p>
        </w:tc>
        <w:tc>
          <w:tcPr>
            <w:tcW w:w="6642" w:type="dxa"/>
            <w:shd w:val="clear" w:color="auto" w:fill="auto"/>
          </w:tcPr>
          <w:p w:rsidR="00B22AB6" w:rsidRDefault="00B22AB6" w:rsidP="00B22AB6">
            <w:pPr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конструктивне сприйняття змін;</w:t>
            </w:r>
          </w:p>
          <w:p w:rsidR="00B22AB6" w:rsidRPr="004C060A" w:rsidRDefault="00B22AB6" w:rsidP="00B22AB6">
            <w:pPr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схильність до навчання</w:t>
            </w:r>
            <w:r w:rsidRPr="004C060A">
              <w:rPr>
                <w:lang w:val="uk-UA"/>
              </w:rPr>
              <w:t>;</w:t>
            </w:r>
          </w:p>
          <w:p w:rsidR="00B22AB6" w:rsidRPr="004C060A" w:rsidRDefault="00B22AB6" w:rsidP="00B22AB6">
            <w:pPr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 w:rsidRPr="004C060A">
              <w:rPr>
                <w:lang w:val="uk-UA"/>
              </w:rPr>
              <w:t>стійкість до стресу.</w:t>
            </w:r>
          </w:p>
        </w:tc>
      </w:tr>
      <w:tr w:rsidR="00B22AB6" w:rsidRPr="0049489A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3184" w:type="dxa"/>
            <w:shd w:val="clear" w:color="auto" w:fill="auto"/>
          </w:tcPr>
          <w:p w:rsidR="00B22AB6" w:rsidRPr="004C060A" w:rsidRDefault="00B22AB6" w:rsidP="0048026C">
            <w:pPr>
              <w:rPr>
                <w:lang w:val="uk-UA"/>
              </w:rPr>
            </w:pPr>
            <w:r w:rsidRPr="004C060A">
              <w:rPr>
                <w:lang w:val="uk-UA"/>
              </w:rPr>
              <w:t>Технічні вміння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AB6" w:rsidRDefault="00B22AB6" w:rsidP="00B22AB6">
            <w:pPr>
              <w:widowControl w:val="0"/>
              <w:numPr>
                <w:ilvl w:val="0"/>
                <w:numId w:val="7"/>
              </w:numPr>
              <w:suppressAutoHyphens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використовувати комп'ютерну та офісну техніку;</w:t>
            </w:r>
          </w:p>
          <w:p w:rsidR="00B22AB6" w:rsidRDefault="00B22AB6" w:rsidP="00B22AB6">
            <w:pPr>
              <w:widowControl w:val="0"/>
              <w:numPr>
                <w:ilvl w:val="0"/>
                <w:numId w:val="7"/>
              </w:numPr>
              <w:suppressAutoHyphens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із сучасним офісним програмним забезпеченням (</w:t>
            </w:r>
            <w:r>
              <w:rPr>
                <w:lang w:val="en-US"/>
              </w:rPr>
              <w:t>MS</w:t>
            </w:r>
            <w:r w:rsidRPr="00C86206">
              <w:rPr>
                <w:lang w:val="uk-UA"/>
              </w:rPr>
              <w:t xml:space="preserve"> </w:t>
            </w:r>
            <w:r>
              <w:rPr>
                <w:lang w:val="en-US"/>
              </w:rPr>
              <w:t>Word</w:t>
            </w:r>
            <w:r w:rsidRPr="00C86206">
              <w:rPr>
                <w:lang w:val="uk-UA"/>
              </w:rPr>
              <w:t xml:space="preserve">, </w:t>
            </w:r>
            <w:r>
              <w:rPr>
                <w:lang w:val="en-US"/>
              </w:rPr>
              <w:t>Excel</w:t>
            </w:r>
            <w:r w:rsidRPr="00C86206">
              <w:rPr>
                <w:lang w:val="uk-UA"/>
              </w:rPr>
              <w:t xml:space="preserve">, </w:t>
            </w:r>
            <w:r>
              <w:rPr>
                <w:lang w:val="en-US"/>
              </w:rPr>
              <w:t>PowerPoint</w:t>
            </w:r>
            <w:r w:rsidRPr="00C86206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тощо).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3184" w:type="dxa"/>
            <w:shd w:val="clear" w:color="auto" w:fill="auto"/>
          </w:tcPr>
          <w:p w:rsidR="00B22AB6" w:rsidRPr="00394308" w:rsidDel="00E7634A" w:rsidRDefault="00B22AB6" w:rsidP="0048026C">
            <w:pPr>
              <w:rPr>
                <w:lang w:val="uk-UA"/>
              </w:rPr>
            </w:pPr>
            <w:r w:rsidRPr="00394308">
              <w:rPr>
                <w:lang w:val="uk-UA"/>
              </w:rPr>
              <w:t>Особистісні компетенції</w:t>
            </w:r>
          </w:p>
        </w:tc>
        <w:tc>
          <w:tcPr>
            <w:tcW w:w="6642" w:type="dxa"/>
            <w:shd w:val="clear" w:color="auto" w:fill="auto"/>
          </w:tcPr>
          <w:p w:rsidR="00B22AB6" w:rsidRPr="009D3724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B22AB6" w:rsidRPr="009D3724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B22AB6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B22AB6" w:rsidRPr="004660AF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60AF">
              <w:rPr>
                <w:lang w:val="uk-UA"/>
              </w:rPr>
              <w:t>системність і самостійність в роботі;</w:t>
            </w:r>
          </w:p>
          <w:p w:rsidR="00B22AB6" w:rsidRPr="009D3724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60AF">
              <w:rPr>
                <w:lang w:val="uk-UA"/>
              </w:rPr>
              <w:t>уважність до деталей;</w:t>
            </w:r>
          </w:p>
          <w:p w:rsidR="00B22AB6" w:rsidRPr="009D3724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стійкість до стресів;</w:t>
            </w:r>
          </w:p>
          <w:p w:rsidR="00B22AB6" w:rsidRPr="009D3724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B22AB6" w:rsidRPr="009D3724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B22AB6" w:rsidRPr="009D3724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B22AB6" w:rsidRPr="009D3724" w:rsidRDefault="00B22AB6" w:rsidP="00B22AB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D3724">
              <w:rPr>
                <w:lang w:val="uk-UA"/>
              </w:rPr>
              <w:t>исокий рівень відповідальності за доручену справу.</w:t>
            </w:r>
          </w:p>
        </w:tc>
      </w:tr>
      <w:tr w:rsidR="00B22AB6" w:rsidRPr="00846C1B" w:rsidTr="0048026C">
        <w:trPr>
          <w:gridAfter w:val="1"/>
          <w:wAfter w:w="10" w:type="dxa"/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9826" w:type="dxa"/>
            <w:gridSpan w:val="2"/>
            <w:shd w:val="clear" w:color="auto" w:fill="auto"/>
            <w:vAlign w:val="center"/>
          </w:tcPr>
          <w:p w:rsidR="00B22AB6" w:rsidRDefault="00B22AB6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B22AB6" w:rsidRPr="003070A0" w:rsidRDefault="00B22AB6" w:rsidP="0048026C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B6" w:rsidRDefault="00B22AB6" w:rsidP="00B22AB6">
            <w:pPr>
              <w:numPr>
                <w:ilvl w:val="0"/>
                <w:numId w:val="8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на знання законодавства 1-го та 2-го рівнів (</w:t>
            </w:r>
            <w:hyperlink r:id="rId7" w:history="1">
              <w:r>
                <w:rPr>
                  <w:rStyle w:val="a5"/>
                  <w:rFonts w:cs="Calibri"/>
                  <w:szCs w:val="20"/>
                  <w:lang w:val="uk-UA" w:eastAsia="uk-UA"/>
                </w:rPr>
                <w:t>https://nabu.gov.ua/perelik-pytan-do-kvalifikaciynogo-ispytu</w:t>
              </w:r>
            </w:hyperlink>
            <w:r>
              <w:rPr>
                <w:rFonts w:cs="Calibri"/>
                <w:szCs w:val="20"/>
                <w:lang w:val="uk-UA" w:eastAsia="uk-UA"/>
              </w:rPr>
              <w:t>);</w:t>
            </w:r>
          </w:p>
          <w:p w:rsidR="00B22AB6" w:rsidRDefault="00B22AB6" w:rsidP="00B22AB6">
            <w:pPr>
              <w:numPr>
                <w:ilvl w:val="0"/>
                <w:numId w:val="8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загальних здібностей;</w:t>
            </w:r>
          </w:p>
          <w:p w:rsidR="00B22AB6" w:rsidRDefault="00B22AB6" w:rsidP="00B22AB6">
            <w:pPr>
              <w:numPr>
                <w:ilvl w:val="0"/>
                <w:numId w:val="8"/>
              </w:numPr>
              <w:ind w:left="298" w:hanging="298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психологічне тестування.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184" w:type="dxa"/>
            <w:shd w:val="clear" w:color="auto" w:fill="auto"/>
          </w:tcPr>
          <w:p w:rsidR="00B22AB6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</w:t>
            </w:r>
          </w:p>
          <w:p w:rsidR="00B22AB6" w:rsidRPr="00846C1B" w:rsidRDefault="00B22AB6" w:rsidP="0048026C">
            <w:pPr>
              <w:rPr>
                <w:lang w:val="uk-UA"/>
              </w:rPr>
            </w:pPr>
          </w:p>
        </w:tc>
        <w:tc>
          <w:tcPr>
            <w:tcW w:w="6642" w:type="dxa"/>
            <w:shd w:val="clear" w:color="auto" w:fill="FFFFFF"/>
          </w:tcPr>
          <w:p w:rsidR="00B22AB6" w:rsidRPr="00003AB2" w:rsidRDefault="00B22AB6" w:rsidP="0048026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lastRenderedPageBreak/>
              <w:t xml:space="preserve">1) заяву, підписану електронним підписом, про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</w:r>
            <w:r w:rsidRPr="00003AB2">
              <w:rPr>
                <w:rFonts w:cs="Calibri"/>
                <w:szCs w:val="20"/>
                <w:lang w:val="uk-UA" w:eastAsia="uk-UA"/>
              </w:rPr>
              <w:lastRenderedPageBreak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B22AB6" w:rsidRPr="00003AB2" w:rsidRDefault="00B22AB6" w:rsidP="0048026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B22AB6" w:rsidRPr="00003AB2" w:rsidRDefault="00B22AB6" w:rsidP="0048026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B22AB6" w:rsidRPr="00003AB2" w:rsidRDefault="00B22AB6" w:rsidP="0048026C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B22AB6" w:rsidRPr="00003AB2" w:rsidRDefault="00B22AB6" w:rsidP="0048026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003AB2">
              <w:rPr>
                <w:rFonts w:cs="Calibri"/>
                <w:szCs w:val="20"/>
                <w:lang w:eastAsia="uk-UA"/>
              </w:rPr>
              <w:t>.</w:t>
            </w:r>
          </w:p>
          <w:p w:rsidR="00B22AB6" w:rsidRPr="00003AB2" w:rsidRDefault="00B22AB6" w:rsidP="0048026C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B22AB6" w:rsidRPr="00003AB2" w:rsidRDefault="00B22AB6" w:rsidP="0048026C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конкурсі, лише заява або резюме не реєструється як вхідний документ та повертається на зворотню адресу запитувача із зазначенням відповідних коментарів.</w:t>
            </w:r>
          </w:p>
          <w:p w:rsidR="00B22AB6" w:rsidRPr="00003AB2" w:rsidRDefault="00B22AB6" w:rsidP="0048026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B22AB6" w:rsidRPr="00003AB2" w:rsidRDefault="00B22AB6" w:rsidP="0048026C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B22AB6" w:rsidRPr="00003AB2" w:rsidRDefault="00B22AB6" w:rsidP="0048026C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B22AB6" w:rsidRPr="00003AB2" w:rsidRDefault="00B22AB6" w:rsidP="0048026C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Зразки заяв розміщені на офіційному вебсайті Національного бюро (</w:t>
            </w:r>
            <w:hyperlink r:id="rId8" w:history="1">
              <w:r w:rsidRPr="00003AB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003AB2">
              <w:rPr>
                <w:rFonts w:cs="Calibri"/>
                <w:szCs w:val="20"/>
                <w:lang w:val="uk-UA" w:eastAsia="uk-UA"/>
              </w:rPr>
              <w:t>(Порядок проведення відкритого конкурсу, розділ ІІІ).</w:t>
            </w:r>
          </w:p>
          <w:p w:rsidR="00B22AB6" w:rsidRPr="00003AB2" w:rsidRDefault="00B22AB6" w:rsidP="0048026C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B22AB6" w:rsidRPr="00003AB2" w:rsidRDefault="00B22AB6" w:rsidP="0048026C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B22AB6" w:rsidRPr="00003AB2" w:rsidRDefault="00B22AB6" w:rsidP="0048026C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B22AB6" w:rsidRPr="00003AB2" w:rsidRDefault="00B22AB6" w:rsidP="0048026C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B22AB6" w:rsidRPr="00003AB2" w:rsidRDefault="00B22AB6" w:rsidP="0048026C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184" w:type="dxa"/>
            <w:shd w:val="clear" w:color="auto" w:fill="auto"/>
          </w:tcPr>
          <w:p w:rsidR="00B22AB6" w:rsidRPr="00846C1B" w:rsidRDefault="00B22AB6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642" w:type="dxa"/>
            <w:shd w:val="clear" w:color="auto" w:fill="auto"/>
          </w:tcPr>
          <w:p w:rsidR="00B22AB6" w:rsidRPr="00394308" w:rsidRDefault="00B22AB6" w:rsidP="0048026C">
            <w:pPr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>10</w:t>
            </w:r>
            <w:r w:rsidRPr="00394308">
              <w:rPr>
                <w:lang w:val="uk-UA"/>
              </w:rPr>
              <w:t xml:space="preserve"> календарних днів з дня оприлюднення повідомлення про проведення конкурсу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B6" w:rsidRDefault="00B22AB6" w:rsidP="0048026C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Адреса, за якою приймаються (на яку надсилаються) документи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B6" w:rsidRDefault="00B22AB6" w:rsidP="0048026C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Офіційна електронна адреса </w:t>
            </w:r>
          </w:p>
          <w:p w:rsidR="00B22AB6" w:rsidRDefault="00B22AB6" w:rsidP="0048026C">
            <w:pPr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Національного</w:t>
            </w:r>
            <w:r>
              <w:rPr>
                <w:rFonts w:cs="Calibri"/>
                <w:szCs w:val="20"/>
                <w:lang w:eastAsia="uk-UA"/>
              </w:rPr>
              <w:t xml:space="preserve"> бюро </w:t>
            </w:r>
            <w:r>
              <w:rPr>
                <w:rFonts w:cs="Calibri"/>
                <w:color w:val="0000FF"/>
                <w:szCs w:val="20"/>
                <w:u w:val="single"/>
                <w:lang w:val="uk-UA" w:eastAsia="uk-UA"/>
              </w:rPr>
              <w:t>document@nabu.gov.ua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B6" w:rsidRDefault="00B22AB6" w:rsidP="0048026C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B6" w:rsidRDefault="00B22AB6" w:rsidP="0048026C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E-mail: </w:t>
            </w:r>
            <w:hyperlink r:id="rId9" w:history="1">
              <w:r>
                <w:rPr>
                  <w:rStyle w:val="a5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B22AB6" w:rsidRDefault="00B22AB6" w:rsidP="0048026C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044-241-31-22</w:t>
            </w:r>
          </w:p>
          <w:p w:rsidR="00B22AB6" w:rsidRDefault="00B22AB6" w:rsidP="0048026C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B22AB6" w:rsidRPr="0049489A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B6" w:rsidRDefault="00B22AB6" w:rsidP="0048026C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B6" w:rsidRDefault="00B22AB6" w:rsidP="0048026C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України».**</w:t>
            </w:r>
          </w:p>
        </w:tc>
      </w:tr>
      <w:tr w:rsidR="00B22AB6" w:rsidRPr="00846C1B" w:rsidTr="0048026C">
        <w:trPr>
          <w:gridAfter w:val="1"/>
          <w:wAfter w:w="10" w:type="dxa"/>
        </w:trPr>
        <w:tc>
          <w:tcPr>
            <w:tcW w:w="835" w:type="dxa"/>
            <w:shd w:val="clear" w:color="auto" w:fill="auto"/>
          </w:tcPr>
          <w:p w:rsidR="00B22AB6" w:rsidRPr="00846C1B" w:rsidRDefault="00B22AB6" w:rsidP="0048026C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B6" w:rsidRDefault="00B22AB6" w:rsidP="0048026C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B6" w:rsidRDefault="00B22AB6" w:rsidP="0048026C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03035, м. Київ, вул. Дениса Монастирського </w:t>
            </w:r>
            <w:r>
              <w:rPr>
                <w:rFonts w:cs="Calibri"/>
                <w:lang w:val="uk-UA" w:eastAsia="uk-UA"/>
              </w:rPr>
              <w:t>(Василя Сурикова)</w:t>
            </w:r>
            <w:r>
              <w:rPr>
                <w:rFonts w:cs="Calibri"/>
                <w:szCs w:val="20"/>
                <w:lang w:val="uk-UA" w:eastAsia="uk-UA"/>
              </w:rPr>
              <w:t>, 3 (адміністративна будівля Національного бюро)</w:t>
            </w:r>
          </w:p>
        </w:tc>
      </w:tr>
    </w:tbl>
    <w:p w:rsidR="00B22AB6" w:rsidRPr="008E55F0" w:rsidRDefault="00B22AB6" w:rsidP="00B22AB6">
      <w:pPr>
        <w:jc w:val="right"/>
      </w:pPr>
    </w:p>
    <w:p w:rsidR="00B22AB6" w:rsidRPr="002E1979" w:rsidRDefault="00B22AB6" w:rsidP="00B22AB6">
      <w:pPr>
        <w:ind w:left="-851" w:firstLine="851"/>
        <w:jc w:val="both"/>
        <w:rPr>
          <w:lang w:val="uk-UA"/>
        </w:rPr>
      </w:pPr>
      <w:r>
        <w:rPr>
          <w:lang w:val="uk-UA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p w:rsidR="00C04E9E" w:rsidRDefault="008B48CB"/>
    <w:sectPr w:rsidR="00C04E9E" w:rsidSect="002776F7">
      <w:headerReference w:type="default" r:id="rId10"/>
      <w:footnotePr>
        <w:numFmt w:val="chicago"/>
      </w:footnotePr>
      <w:pgSz w:w="11906" w:h="16838" w:code="9"/>
      <w:pgMar w:top="567" w:right="851" w:bottom="568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CB" w:rsidRDefault="008B48CB">
      <w:r>
        <w:separator/>
      </w:r>
    </w:p>
  </w:endnote>
  <w:endnote w:type="continuationSeparator" w:id="0">
    <w:p w:rsidR="008B48CB" w:rsidRDefault="008B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CB" w:rsidRDefault="008B48CB">
      <w:r>
        <w:separator/>
      </w:r>
    </w:p>
  </w:footnote>
  <w:footnote w:type="continuationSeparator" w:id="0">
    <w:p w:rsidR="008B48CB" w:rsidRDefault="008B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8B48CB">
    <w:pPr>
      <w:pStyle w:val="a3"/>
      <w:jc w:val="center"/>
    </w:pPr>
  </w:p>
  <w:p w:rsidR="00C065D3" w:rsidRDefault="008B48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F7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82B1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7E0F53"/>
    <w:multiLevelType w:val="hybridMultilevel"/>
    <w:tmpl w:val="470AC6B0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1083"/>
    <w:multiLevelType w:val="hybridMultilevel"/>
    <w:tmpl w:val="4C3E4388"/>
    <w:lvl w:ilvl="0" w:tplc="2AD6DDCA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7E4B4F59"/>
    <w:multiLevelType w:val="hybridMultilevel"/>
    <w:tmpl w:val="82BE47EC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B6"/>
    <w:rsid w:val="00105FD8"/>
    <w:rsid w:val="003916A5"/>
    <w:rsid w:val="0049489A"/>
    <w:rsid w:val="007956CC"/>
    <w:rsid w:val="008B48CB"/>
    <w:rsid w:val="00B22AB6"/>
    <w:rsid w:val="00D57168"/>
    <w:rsid w:val="00D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125E-CDC7-4454-A53A-019F8F3F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B22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Середня сітка 21"/>
    <w:uiPriority w:val="1"/>
    <w:qFormat/>
    <w:rsid w:val="00B22AB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B22AB6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uiPriority w:val="99"/>
    <w:unhideWhenUsed/>
    <w:rsid w:val="00B22AB6"/>
    <w:rPr>
      <w:color w:val="0000FF"/>
      <w:u w:val="single"/>
    </w:rPr>
  </w:style>
  <w:style w:type="paragraph" w:customStyle="1" w:styleId="a6">
    <w:name w:val="По умолчанию"/>
    <w:rsid w:val="00B22AB6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B22AB6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8401</Words>
  <Characters>4790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Грудзур Олег Михайлович</dc:creator>
  <cp:keywords/>
  <dc:description/>
  <cp:lastModifiedBy>Сидоренко Алла Миколаъвна</cp:lastModifiedBy>
  <cp:revision>2</cp:revision>
  <dcterms:created xsi:type="dcterms:W3CDTF">2024-03-14T10:37:00Z</dcterms:created>
  <dcterms:modified xsi:type="dcterms:W3CDTF">2024-03-14T10:37:00Z</dcterms:modified>
</cp:coreProperties>
</file>