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7D2029" w:rsidRDefault="00E07ABB" w:rsidP="00E07ABB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985B90" w:rsidRPr="007D2029" w:rsidRDefault="00985B90" w:rsidP="00A82DCA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«</w:t>
      </w:r>
      <w:r w:rsidR="00A82DCA" w:rsidRPr="00A82DCA">
        <w:rPr>
          <w:b/>
          <w:sz w:val="28"/>
          <w:szCs w:val="28"/>
          <w:lang w:val="uk-UA"/>
        </w:rPr>
        <w:t>Старший детектив Національного бюро</w:t>
      </w:r>
      <w:r w:rsidR="00A82DCA">
        <w:rPr>
          <w:b/>
          <w:sz w:val="28"/>
          <w:szCs w:val="28"/>
          <w:lang w:val="uk-UA"/>
        </w:rPr>
        <w:t xml:space="preserve">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 xml:space="preserve">Першого відділу фінансових розслідувань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E07ABB" w:rsidRPr="007D2029" w:rsidRDefault="00985B90" w:rsidP="00985B90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Pr="007D2029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7D2029" w:rsidTr="00820A13">
        <w:tc>
          <w:tcPr>
            <w:tcW w:w="4608" w:type="dxa"/>
          </w:tcPr>
          <w:p w:rsidR="00E07ABB" w:rsidRPr="007D2029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ЗАТВЕРДЖУЮ</w:t>
            </w:r>
          </w:p>
        </w:tc>
      </w:tr>
      <w:tr w:rsidR="00E07ABB" w:rsidRPr="007D2029" w:rsidTr="00820A13">
        <w:tc>
          <w:tcPr>
            <w:tcW w:w="4608" w:type="dxa"/>
          </w:tcPr>
          <w:p w:rsidR="00E07ABB" w:rsidRPr="007D2029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7D2029" w:rsidRDefault="00E07ABB" w:rsidP="00E45DE8">
            <w:pPr>
              <w:rPr>
                <w:b/>
                <w:lang w:val="uk-UA"/>
              </w:rPr>
            </w:pPr>
            <w:r w:rsidRPr="00CB4723">
              <w:rPr>
                <w:b/>
                <w:lang w:val="uk-UA"/>
              </w:rPr>
              <w:t>Директ</w:t>
            </w:r>
            <w:r w:rsidR="00E45DE8" w:rsidRPr="00CB4723">
              <w:rPr>
                <w:b/>
                <w:lang w:val="uk-UA"/>
              </w:rPr>
              <w:t>ор</w:t>
            </w:r>
            <w:r w:rsidR="00E45DE8" w:rsidRPr="007D2029">
              <w:rPr>
                <w:b/>
                <w:lang w:val="uk-UA"/>
              </w:rPr>
              <w:t xml:space="preserve">                           </w:t>
            </w:r>
            <w:r w:rsidR="005A19DA" w:rsidRPr="007D2029">
              <w:rPr>
                <w:b/>
                <w:lang w:val="uk-UA"/>
              </w:rPr>
              <w:t>С</w:t>
            </w:r>
            <w:r w:rsidR="00E45DE8" w:rsidRPr="007D2029">
              <w:rPr>
                <w:b/>
                <w:lang w:val="uk-UA"/>
              </w:rPr>
              <w:t>емен КРИВОНОС</w:t>
            </w:r>
          </w:p>
        </w:tc>
      </w:tr>
      <w:tr w:rsidR="00E07ABB" w:rsidRPr="007D2029" w:rsidTr="00820A13">
        <w:tc>
          <w:tcPr>
            <w:tcW w:w="4608" w:type="dxa"/>
          </w:tcPr>
          <w:p w:rsidR="00E07ABB" w:rsidRPr="007D2029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Pr="007D2029" w:rsidRDefault="00E07ABB" w:rsidP="00820A13">
            <w:pPr>
              <w:rPr>
                <w:sz w:val="18"/>
                <w:szCs w:val="28"/>
                <w:lang w:val="uk-UA"/>
              </w:rPr>
            </w:pPr>
            <w:r w:rsidRPr="007D2029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E07ABB" w:rsidRPr="007D2029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7D2029" w:rsidTr="00820A13">
        <w:tc>
          <w:tcPr>
            <w:tcW w:w="4608" w:type="dxa"/>
          </w:tcPr>
          <w:p w:rsidR="00E07ABB" w:rsidRPr="007D2029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7D2029" w:rsidRDefault="00C24943" w:rsidP="00C24943">
            <w:pPr>
              <w:rPr>
                <w:lang w:val="uk-UA"/>
              </w:rPr>
            </w:pPr>
            <w:r>
              <w:rPr>
                <w:lang w:val="uk-UA"/>
              </w:rPr>
              <w:t>«01</w:t>
            </w:r>
            <w:bookmarkStart w:id="0" w:name="_GoBack"/>
            <w:bookmarkEnd w:id="0"/>
            <w:r w:rsidR="002A588C" w:rsidRPr="007D2029">
              <w:rPr>
                <w:lang w:val="uk-UA"/>
              </w:rPr>
              <w:t>»</w:t>
            </w:r>
            <w:r w:rsidR="00CB4723">
              <w:rPr>
                <w:lang w:val="uk-UA"/>
              </w:rPr>
              <w:t xml:space="preserve"> </w:t>
            </w:r>
            <w:r w:rsidR="00CB4723" w:rsidRPr="00C35ED5">
              <w:rPr>
                <w:lang w:val="uk-UA"/>
              </w:rPr>
              <w:t xml:space="preserve"> </w:t>
            </w:r>
            <w:r w:rsidR="00D116AE">
              <w:rPr>
                <w:lang w:val="uk-UA"/>
              </w:rPr>
              <w:t>квітня</w:t>
            </w:r>
            <w:r w:rsidR="00CB4723" w:rsidRPr="007D2029">
              <w:rPr>
                <w:lang w:val="uk-UA"/>
              </w:rPr>
              <w:t xml:space="preserve"> </w:t>
            </w:r>
            <w:r w:rsidR="00E07ABB" w:rsidRPr="007D2029">
              <w:rPr>
                <w:lang w:val="uk-UA"/>
              </w:rPr>
              <w:t>202</w:t>
            </w:r>
            <w:r w:rsidR="00AD22F8">
              <w:rPr>
                <w:lang w:val="uk-UA"/>
              </w:rPr>
              <w:t>4</w:t>
            </w:r>
            <w:r w:rsidR="002A588C" w:rsidRPr="007D2029">
              <w:rPr>
                <w:lang w:val="uk-UA"/>
              </w:rPr>
              <w:t xml:space="preserve"> року</w:t>
            </w:r>
          </w:p>
        </w:tc>
      </w:tr>
    </w:tbl>
    <w:p w:rsidR="00E07ABB" w:rsidRPr="007D2029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2A588C" w:rsidP="002A588C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</w:t>
            </w:r>
            <w:r w:rsidR="00E07ABB" w:rsidRPr="007D2029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268DD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268DD" w:rsidRPr="007D2029" w:rsidRDefault="009268DD" w:rsidP="009268DD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268DD" w:rsidRPr="007D2029" w:rsidRDefault="009268DD" w:rsidP="009268DD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9268DD" w:rsidRDefault="009268DD" w:rsidP="009268D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9268DD" w:rsidRPr="00872580" w:rsidRDefault="009268DD" w:rsidP="009268D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C24943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7D2029" w:rsidRDefault="00A82DCA" w:rsidP="00A82DCA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Перш</w:t>
            </w:r>
            <w:r>
              <w:rPr>
                <w:bCs/>
                <w:lang w:val="uk-UA"/>
              </w:rPr>
              <w:t>ий</w:t>
            </w:r>
            <w:r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7D2029"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985B90" w:rsidRPr="00C24943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7D2029" w:rsidRDefault="00A82DCA" w:rsidP="009268DD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EC396A">
              <w:t xml:space="preserve">Забезпечення виконання покладених на </w:t>
            </w:r>
            <w:r w:rsidRPr="00A82DCA">
              <w:rPr>
                <w:bCs/>
              </w:rPr>
              <w:t>Перш</w:t>
            </w:r>
            <w:r>
              <w:rPr>
                <w:bCs/>
              </w:rPr>
              <w:t>ий</w:t>
            </w:r>
            <w:r w:rsidRPr="00A82DCA">
              <w:rPr>
                <w:bCs/>
              </w:rPr>
              <w:t xml:space="preserve"> відділ фінансових розслідувань</w:t>
            </w:r>
            <w:r w:rsidRPr="00EC396A">
              <w:t xml:space="preserve">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завдань</w:t>
            </w:r>
            <w:r w:rsidRPr="00EC396A">
              <w:t xml:space="preserve">, визначених </w:t>
            </w:r>
            <w:r w:rsidRPr="00EC396A">
              <w:rPr>
                <w:bCs/>
              </w:rPr>
              <w:t xml:space="preserve">Положенням про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 w:rsidRPr="00EC396A">
              <w:rPr>
                <w:bCs/>
              </w:rPr>
              <w:t xml:space="preserve"> Національного </w:t>
            </w:r>
            <w:r w:rsidR="009268DD">
              <w:rPr>
                <w:bCs/>
              </w:rPr>
              <w:t>бюро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985B90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здійснення, у межах компетенції, інформаційно-аналітичного забезпечення діяльності детективів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бюджетній сфері та інших сферах державного управління</w:t>
            </w:r>
            <w:r w:rsidR="00985B90"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корупційних та інших кримінальних правопорушень, віднесених до підслідності Національного бюро, встановлення інших подій, у тому числі шляхом використання інформації про державні закупівлі, рух товарно-матеріальних цінностей, казначейські операції, а також з використанням інформації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осіб, причетних до правопорушення, інших подій, а також встановлення зв’язків між особами, подіями, у тому числі шляхом використання даних (інформації) про представництво, геопросторових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оцінка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розшук та арешт коштів та іншого майна, які можуть бути предметом конфіскації або спеціальної конфіскації у корупційних та інших кримінальних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правопорушеннях, віднесених до підслідності Національного бюро, а також інших правопорушень, у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 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виявлення необґрунтованих активів;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427" w:rsidRPr="002D2427" w:rsidRDefault="002D2427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аналізу та прогнозування розвитку оперативної обстановки у сфері боротьби з корупцією;</w:t>
            </w:r>
          </w:p>
          <w:p w:rsidR="00985B90" w:rsidRPr="002D2427" w:rsidRDefault="00985B90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2D2427" w:rsidRDefault="00985B90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 пропозицій щодо впровадження та використання аналітичних систем, систем рапортування;</w:t>
            </w:r>
          </w:p>
          <w:p w:rsidR="00985B90" w:rsidRPr="002D2427" w:rsidRDefault="00985B90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2D2427" w:rsidRDefault="00985B90" w:rsidP="00CB4723">
            <w:pPr>
              <w:pStyle w:val="20"/>
              <w:numPr>
                <w:ilvl w:val="0"/>
                <w:numId w:val="2"/>
              </w:numPr>
              <w:tabs>
                <w:tab w:val="left" w:pos="66"/>
              </w:tabs>
              <w:spacing w:after="0" w:line="240" w:lineRule="auto"/>
              <w:ind w:left="0" w:firstLine="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</w:t>
            </w:r>
            <w:r w:rsidR="005461ED" w:rsidRPr="007D2029">
              <w:rPr>
                <w:lang w:val="uk-UA"/>
              </w:rPr>
              <w:t>ища</w:t>
            </w:r>
          </w:p>
        </w:tc>
      </w:tr>
      <w:tr w:rsidR="009268DD" w:rsidRPr="007D2029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9268DD" w:rsidRPr="007D2029" w:rsidRDefault="009268DD" w:rsidP="009268D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268DD" w:rsidRPr="007D2029" w:rsidRDefault="009268DD" w:rsidP="009268DD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9268DD" w:rsidRPr="00C46C49" w:rsidRDefault="009268DD" w:rsidP="009268DD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Магістр (спеціаліст), бакалавр (дипломований після                        2016 року)</w:t>
            </w:r>
          </w:p>
        </w:tc>
      </w:tr>
      <w:tr w:rsidR="00985B90" w:rsidRPr="00C24943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7D2029" w:rsidRDefault="00F06EC8" w:rsidP="00F06EC8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 w:rsidRPr="00180F0D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сфері </w:t>
            </w:r>
            <w:r w:rsidRPr="00180F0D">
              <w:rPr>
                <w:lang w:val="uk-UA"/>
              </w:rPr>
              <w:t>аудиту</w:t>
            </w:r>
            <w:r>
              <w:rPr>
                <w:lang w:val="uk-UA"/>
              </w:rPr>
              <w:t>,</w:t>
            </w:r>
            <w:r w:rsidRPr="009268DD">
              <w:rPr>
                <w:sz w:val="28"/>
                <w:szCs w:val="28"/>
                <w:lang w:val="uk-UA"/>
              </w:rPr>
              <w:t xml:space="preserve"> </w:t>
            </w:r>
            <w:r w:rsidRPr="00E96E24">
              <w:rPr>
                <w:lang w:val="uk-UA"/>
              </w:rPr>
              <w:t xml:space="preserve">в тому числі </w:t>
            </w:r>
            <w:r>
              <w:rPr>
                <w:lang w:val="uk-UA"/>
              </w:rPr>
              <w:t>банківському, митному,</w:t>
            </w:r>
            <w:r w:rsidRPr="00E96E24">
              <w:rPr>
                <w:lang w:val="uk-UA"/>
              </w:rPr>
              <w:t xml:space="preserve"> податков</w:t>
            </w:r>
            <w:r>
              <w:rPr>
                <w:lang w:val="uk-UA"/>
              </w:rPr>
              <w:t>ому та аудиті державних підприємств</w:t>
            </w:r>
            <w:r w:rsidRPr="00180F0D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>ревізії</w:t>
            </w:r>
            <w:r>
              <w:rPr>
                <w:lang w:val="uk-UA"/>
              </w:rPr>
              <w:t xml:space="preserve"> та фінансового контролю</w:t>
            </w:r>
            <w:r w:rsidRPr="00180F0D">
              <w:rPr>
                <w:lang w:val="uk-UA"/>
              </w:rPr>
              <w:t>, внутрішнього контролю</w:t>
            </w:r>
            <w:r>
              <w:rPr>
                <w:lang w:val="uk-UA"/>
              </w:rPr>
              <w:t xml:space="preserve">, управління ризиками, фінансового та кредитного аналізу, бухгалтерського обліку та фінансової звітності, податкового обліку та звітності, фінансового моніторингу та валютного контролю, комплаенсу, </w:t>
            </w:r>
            <w:r w:rsidRPr="00180F0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митного контролю та митного оформлення, обігу цінних паперів, системного та бізнес-аналізу, корпоративної (економічної) розвідки</w:t>
            </w:r>
            <w:r w:rsidRPr="00180F0D">
              <w:rPr>
                <w:lang w:val="uk-UA"/>
              </w:rPr>
              <w:t xml:space="preserve"> тривалістю</w:t>
            </w:r>
            <w:r w:rsidRPr="009268DD">
              <w:rPr>
                <w:lang w:val="uk-UA"/>
              </w:rPr>
              <w:t xml:space="preserve"> не менше двох років</w:t>
            </w:r>
            <w:r>
              <w:rPr>
                <w:lang w:val="uk-UA"/>
              </w:rPr>
              <w:t>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7D2029" w:rsidDel="00E7634A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820A13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Вільне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820A13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 xml:space="preserve">Вільне володіння англійською мовою (на рівні не нижче Upper-Intermediate). Володіння іншими мовами </w:t>
            </w:r>
            <w:r w:rsidR="00CB4723">
              <w:rPr>
                <w:lang w:val="uk-UA"/>
              </w:rPr>
              <w:br/>
            </w:r>
            <w:r w:rsidRPr="007D2029">
              <w:rPr>
                <w:lang w:val="uk-UA"/>
              </w:rPr>
              <w:t xml:space="preserve">є перевагою. </w:t>
            </w:r>
          </w:p>
        </w:tc>
      </w:tr>
      <w:tr w:rsidR="009D51F0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9D51F0" w:rsidRPr="007D2029" w:rsidRDefault="009D51F0" w:rsidP="009D51F0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9D51F0" w:rsidRPr="007D2029" w:rsidRDefault="009D51F0" w:rsidP="009D51F0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F06EC8" w:rsidRPr="006F0FB3" w:rsidRDefault="00F06EC8" w:rsidP="00F06E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9D51F0" w:rsidRPr="007D2029" w:rsidRDefault="00F06EC8" w:rsidP="00F06EC8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C24943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jc w:val="both"/>
              <w:rPr>
                <w:caps/>
                <w:lang w:val="uk-UA"/>
              </w:rPr>
            </w:pPr>
            <w:r w:rsidRPr="007D202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F06EC8" w:rsidRDefault="00F06EC8" w:rsidP="00741BA8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>; Менеджмент; М</w:t>
            </w:r>
            <w:r w:rsidRPr="00985B90">
              <w:rPr>
                <w:lang w:val="uk-UA"/>
              </w:rPr>
              <w:t>енеджмент</w:t>
            </w:r>
            <w:r>
              <w:rPr>
                <w:lang w:val="uk-UA"/>
              </w:rPr>
              <w:t xml:space="preserve"> організацій; </w:t>
            </w:r>
            <w:r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7D2029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268DD" w:rsidRPr="009268DD" w:rsidRDefault="00985B90" w:rsidP="009268DD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268DD" w:rsidRPr="009268DD" w:rsidRDefault="009268DD" w:rsidP="009268D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9268DD" w:rsidRDefault="00985B90" w:rsidP="009268DD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985B90" w:rsidRPr="007D2029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C24943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7D2029" w:rsidRDefault="00985B90" w:rsidP="00CB4723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7D2029">
              <w:rPr>
                <w:rFonts w:ascii="Times New Roman" w:hAnsi="Times New Roman"/>
                <w:sz w:val="24"/>
                <w:szCs w:val="24"/>
              </w:rPr>
              <w:t xml:space="preserve"> Excel, MS Visio, MS PowerPoint, Access, SQL.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7D2029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DE3A0C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9268DD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9268DD" w:rsidRPr="007D2029" w:rsidRDefault="009268DD" w:rsidP="009268D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9268DD" w:rsidRPr="007D2029" w:rsidRDefault="009268DD" w:rsidP="009268DD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9268DD" w:rsidRPr="00012706" w:rsidRDefault="009268DD" w:rsidP="009268D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1A0999">
                <w:rPr>
                  <w:rStyle w:val="12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268DD" w:rsidRPr="00AC4FAF" w:rsidRDefault="009268DD" w:rsidP="009268D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9268DD" w:rsidRPr="00AC4FAF" w:rsidRDefault="009268DD" w:rsidP="009268D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2222D6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222D6" w:rsidRPr="007D2029" w:rsidRDefault="002222D6" w:rsidP="002222D6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2222D6" w:rsidRPr="007D2029" w:rsidRDefault="002222D6" w:rsidP="002222D6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9268DD" w:rsidRPr="00AC4FAF" w:rsidRDefault="009268DD" w:rsidP="009268DD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</w:t>
            </w:r>
            <w:r w:rsidR="00CB4723">
              <w:t xml:space="preserve"> бажає взяти участь у конкурсі, </w:t>
            </w:r>
            <w:r w:rsidRPr="00AC4FAF">
              <w:t>має на те підтверджені документами законні підстави або це визначено в умовах конкурсу;</w:t>
            </w:r>
          </w:p>
          <w:p w:rsidR="009268DD" w:rsidRPr="00AC4FAF" w:rsidRDefault="009268DD" w:rsidP="009268DD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9268DD" w:rsidRPr="00AC4FAF" w:rsidRDefault="009268DD" w:rsidP="009268DD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9268DD" w:rsidRPr="00AC4FAF" w:rsidRDefault="009268DD" w:rsidP="009268DD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4) 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9268DD" w:rsidRPr="00AC4FAF" w:rsidRDefault="009268DD" w:rsidP="009268DD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9268DD" w:rsidRPr="00AC4FAF" w:rsidRDefault="009268DD" w:rsidP="009268DD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9268DD" w:rsidRPr="00AC4FAF" w:rsidRDefault="009268DD" w:rsidP="009268DD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9268DD" w:rsidRPr="00AC4FAF" w:rsidRDefault="009268DD" w:rsidP="009268DD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6" w:history="1">
              <w:r w:rsidRPr="00012706">
                <w:rPr>
                  <w:rFonts w:cs="Times New Roman"/>
                  <w:lang w:val="uk-UA" w:eastAsia="en-US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2222D6" w:rsidRPr="00D2774E" w:rsidRDefault="002222D6" w:rsidP="002222D6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268DD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9268DD" w:rsidRPr="007D2029" w:rsidRDefault="009268DD" w:rsidP="009268D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3.3</w:t>
            </w:r>
          </w:p>
        </w:tc>
        <w:tc>
          <w:tcPr>
            <w:tcW w:w="3415" w:type="dxa"/>
          </w:tcPr>
          <w:p w:rsidR="009268DD" w:rsidRPr="007D2029" w:rsidRDefault="009268DD" w:rsidP="009268DD">
            <w:pPr>
              <w:rPr>
                <w:lang w:val="uk-UA"/>
              </w:rPr>
            </w:pPr>
            <w:r w:rsidRPr="007D2029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9268DD" w:rsidRPr="000C6472" w:rsidRDefault="009268DD" w:rsidP="009268DD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>
              <w:rPr>
                <w:lang w:val="uk-UA"/>
              </w:rPr>
              <w:t>Протягом 20</w:t>
            </w:r>
            <w:r w:rsidRPr="003A42D5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3046AA" w:rsidRPr="007D2029" w:rsidTr="00CF1A7D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046AA" w:rsidRPr="007D2029" w:rsidRDefault="003046AA" w:rsidP="003046AA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3046AA" w:rsidRPr="007D2029" w:rsidRDefault="003046AA" w:rsidP="003046AA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3046AA" w:rsidRPr="00846C1B" w:rsidRDefault="003046AA" w:rsidP="003046AA">
            <w:pPr>
              <w:rPr>
                <w:lang w:val="uk-UA"/>
              </w:rPr>
            </w:pPr>
            <w:r w:rsidRPr="00931D04">
              <w:rPr>
                <w:lang w:val="uk-UA"/>
              </w:rPr>
              <w:t>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  <w:vAlign w:val="center"/>
          </w:tcPr>
          <w:p w:rsidR="003046AA" w:rsidRPr="007222A0" w:rsidRDefault="003046AA" w:rsidP="003046AA">
            <w:pPr>
              <w:jc w:val="both"/>
            </w:pPr>
            <w:r>
              <w:rPr>
                <w:kern w:val="36"/>
              </w:rPr>
              <w:t xml:space="preserve">За </w:t>
            </w:r>
            <w:proofErr w:type="spellStart"/>
            <w:r>
              <w:rPr>
                <w:kern w:val="36"/>
              </w:rPr>
              <w:t>посиланням</w:t>
            </w:r>
            <w:proofErr w:type="spellEnd"/>
            <w:r>
              <w:rPr>
                <w:kern w:val="36"/>
              </w:rPr>
              <w:t xml:space="preserve"> на </w:t>
            </w:r>
            <w:proofErr w:type="spellStart"/>
            <w:r>
              <w:rPr>
                <w:kern w:val="36"/>
              </w:rPr>
              <w:t>вебс</w:t>
            </w:r>
            <w:r w:rsidRPr="00DE5C96">
              <w:rPr>
                <w:kern w:val="36"/>
              </w:rPr>
              <w:t>айті</w:t>
            </w:r>
            <w:proofErr w:type="spellEnd"/>
            <w:r w:rsidRPr="00DE5C96">
              <w:rPr>
                <w:kern w:val="36"/>
              </w:rPr>
              <w:t xml:space="preserve"> </w:t>
            </w:r>
            <w:proofErr w:type="spellStart"/>
            <w:r w:rsidRPr="00DE5C96">
              <w:rPr>
                <w:kern w:val="36"/>
              </w:rPr>
              <w:t>Національного</w:t>
            </w:r>
            <w:proofErr w:type="spellEnd"/>
            <w:r w:rsidRPr="00DE5C96">
              <w:rPr>
                <w:kern w:val="36"/>
              </w:rPr>
              <w:t xml:space="preserve"> бюро </w:t>
            </w:r>
            <w:hyperlink r:id="rId7" w:history="1">
              <w:r w:rsidRPr="00DE5C96">
                <w:rPr>
                  <w:rStyle w:val="a3"/>
                </w:rPr>
                <w:t>https://nabu.gov.ua/robota-v-nabu/perelik-vakansiy/</w:t>
              </w:r>
            </w:hyperlink>
          </w:p>
        </w:tc>
      </w:tr>
      <w:tr w:rsidR="003046AA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046AA" w:rsidRPr="007D2029" w:rsidRDefault="003046AA" w:rsidP="003046AA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3046AA" w:rsidRPr="007D2029" w:rsidRDefault="003046AA" w:rsidP="003046AA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3046AA" w:rsidRPr="007D2029" w:rsidRDefault="003046AA" w:rsidP="003046AA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</w:t>
            </w:r>
            <w:proofErr w:type="spellStart"/>
            <w:r w:rsidRPr="007D2029">
              <w:rPr>
                <w:b/>
                <w:bCs/>
                <w:lang w:val="uk-UA"/>
              </w:rPr>
              <w:t>mail</w:t>
            </w:r>
            <w:proofErr w:type="spellEnd"/>
            <w:r w:rsidRPr="007D2029">
              <w:rPr>
                <w:b/>
                <w:bCs/>
                <w:lang w:val="uk-UA"/>
              </w:rPr>
              <w:t>:</w:t>
            </w:r>
            <w:r w:rsidRPr="007D2029">
              <w:rPr>
                <w:lang w:val="uk-UA"/>
              </w:rPr>
              <w:t> </w:t>
            </w:r>
            <w:hyperlink r:id="rId8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3046AA" w:rsidRPr="007D2029" w:rsidRDefault="003046AA" w:rsidP="003046AA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(044) 246-31-22</w:t>
            </w:r>
          </w:p>
          <w:p w:rsidR="003046AA" w:rsidRPr="007D2029" w:rsidRDefault="003046AA" w:rsidP="003046A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046AA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046AA" w:rsidRPr="007D2029" w:rsidRDefault="003046AA" w:rsidP="003046AA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3046AA" w:rsidRPr="007D2029" w:rsidRDefault="003046AA" w:rsidP="003046AA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046AA" w:rsidRDefault="003046AA" w:rsidP="003046AA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>Посадовий оклад: 79 939,00 грн.*</w:t>
            </w:r>
          </w:p>
          <w:p w:rsidR="003046AA" w:rsidRPr="000C6472" w:rsidRDefault="003046AA" w:rsidP="003046AA">
            <w:pPr>
              <w:shd w:val="clear" w:color="auto" w:fill="FFFFFF" w:themeFill="background1"/>
              <w:jc w:val="both"/>
              <w:rPr>
                <w:kern w:val="36"/>
                <w:sz w:val="14"/>
                <w:lang w:val="uk-UA"/>
              </w:rPr>
            </w:pPr>
          </w:p>
          <w:p w:rsidR="003046AA" w:rsidRDefault="003046AA" w:rsidP="003046AA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3046AA" w:rsidRPr="000C6472" w:rsidRDefault="003046AA" w:rsidP="003046AA">
            <w:pPr>
              <w:shd w:val="clear" w:color="auto" w:fill="FFFFFF" w:themeFill="background1"/>
              <w:jc w:val="both"/>
              <w:rPr>
                <w:kern w:val="36"/>
                <w:sz w:val="10"/>
                <w:lang w:val="uk-UA"/>
              </w:rPr>
            </w:pPr>
          </w:p>
        </w:tc>
      </w:tr>
      <w:tr w:rsidR="003046AA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046AA" w:rsidRPr="007D2029" w:rsidRDefault="003046AA" w:rsidP="003046AA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3415" w:type="dxa"/>
          </w:tcPr>
          <w:p w:rsidR="003046AA" w:rsidRPr="007D2029" w:rsidRDefault="003046AA" w:rsidP="003046AA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3046AA" w:rsidRPr="006F0FB3" w:rsidRDefault="003046AA" w:rsidP="003046AA">
            <w:pPr>
              <w:shd w:val="clear" w:color="auto" w:fill="FFFFFF" w:themeFill="background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м. Київ, </w:t>
            </w:r>
            <w:r w:rsidRPr="00DF705D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Дениса Монастирського (вул. Василя Сурикова)</w:t>
            </w:r>
            <w:r w:rsidRPr="00DF705D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07ABB" w:rsidRPr="007D2029" w:rsidRDefault="00E07ABB" w:rsidP="00E07ABB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A422ED" w:rsidRPr="007D2029" w:rsidRDefault="00E07ABB" w:rsidP="006F0FB3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7D2029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241"/>
    <w:multiLevelType w:val="hybridMultilevel"/>
    <w:tmpl w:val="2DC2CAF8"/>
    <w:lvl w:ilvl="0" w:tplc="37F4FB5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A183F"/>
    <w:rsid w:val="000A4303"/>
    <w:rsid w:val="00112D72"/>
    <w:rsid w:val="001566F0"/>
    <w:rsid w:val="001651AC"/>
    <w:rsid w:val="001E4284"/>
    <w:rsid w:val="00210F0A"/>
    <w:rsid w:val="002222D6"/>
    <w:rsid w:val="00223CED"/>
    <w:rsid w:val="00261DF1"/>
    <w:rsid w:val="0027379B"/>
    <w:rsid w:val="00287B73"/>
    <w:rsid w:val="00297186"/>
    <w:rsid w:val="002A4003"/>
    <w:rsid w:val="002A588C"/>
    <w:rsid w:val="002D2427"/>
    <w:rsid w:val="003046AA"/>
    <w:rsid w:val="0032719F"/>
    <w:rsid w:val="00354099"/>
    <w:rsid w:val="0035571E"/>
    <w:rsid w:val="00361FA0"/>
    <w:rsid w:val="00363294"/>
    <w:rsid w:val="003E0235"/>
    <w:rsid w:val="003F36C1"/>
    <w:rsid w:val="00427266"/>
    <w:rsid w:val="004F3B07"/>
    <w:rsid w:val="0054527B"/>
    <w:rsid w:val="005461ED"/>
    <w:rsid w:val="005A19DA"/>
    <w:rsid w:val="005A54A0"/>
    <w:rsid w:val="00637E9B"/>
    <w:rsid w:val="00650C7C"/>
    <w:rsid w:val="006A432A"/>
    <w:rsid w:val="006C6F7F"/>
    <w:rsid w:val="006E001B"/>
    <w:rsid w:val="006F0FB3"/>
    <w:rsid w:val="007014AF"/>
    <w:rsid w:val="00705224"/>
    <w:rsid w:val="00741BA8"/>
    <w:rsid w:val="007A1FD5"/>
    <w:rsid w:val="007D2029"/>
    <w:rsid w:val="00883034"/>
    <w:rsid w:val="00884AE1"/>
    <w:rsid w:val="008E7053"/>
    <w:rsid w:val="009268DD"/>
    <w:rsid w:val="00942A1A"/>
    <w:rsid w:val="00943831"/>
    <w:rsid w:val="00972155"/>
    <w:rsid w:val="00973D64"/>
    <w:rsid w:val="00985B90"/>
    <w:rsid w:val="009D51F0"/>
    <w:rsid w:val="00A401EE"/>
    <w:rsid w:val="00A82DCA"/>
    <w:rsid w:val="00AA3A42"/>
    <w:rsid w:val="00AD22F8"/>
    <w:rsid w:val="00AF5FF4"/>
    <w:rsid w:val="00B46F58"/>
    <w:rsid w:val="00B578B6"/>
    <w:rsid w:val="00C24943"/>
    <w:rsid w:val="00CA63E8"/>
    <w:rsid w:val="00CB356C"/>
    <w:rsid w:val="00CB4723"/>
    <w:rsid w:val="00CB5EB3"/>
    <w:rsid w:val="00CF6C4D"/>
    <w:rsid w:val="00D07057"/>
    <w:rsid w:val="00D116AE"/>
    <w:rsid w:val="00D208C5"/>
    <w:rsid w:val="00D96E67"/>
    <w:rsid w:val="00D97CF8"/>
    <w:rsid w:val="00DB7F36"/>
    <w:rsid w:val="00DE3A0C"/>
    <w:rsid w:val="00E07ABB"/>
    <w:rsid w:val="00E45DE8"/>
    <w:rsid w:val="00EC0ABF"/>
    <w:rsid w:val="00EC18D5"/>
    <w:rsid w:val="00F06EC8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C20F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5224"/>
    <w:rPr>
      <w:color w:val="954F72" w:themeColor="followedHyperlink"/>
      <w:u w:val="single"/>
    </w:rPr>
  </w:style>
  <w:style w:type="paragraph" w:styleId="a7">
    <w:name w:val="Normal (Web)"/>
    <w:basedOn w:val="a"/>
    <w:unhideWhenUsed/>
    <w:qFormat/>
    <w:rsid w:val="002222D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2222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222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6643</Words>
  <Characters>3787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Медина Олена Степанівна</cp:lastModifiedBy>
  <cp:revision>4</cp:revision>
  <dcterms:created xsi:type="dcterms:W3CDTF">2024-03-28T15:15:00Z</dcterms:created>
  <dcterms:modified xsi:type="dcterms:W3CDTF">2024-04-01T14:31:00Z</dcterms:modified>
</cp:coreProperties>
</file>