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E5" w:rsidRDefault="00720ED3" w:rsidP="004527FA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>ПРОФІЛЬ ПОСАДИ</w:t>
      </w:r>
      <w:r w:rsidRPr="00BD7B6D">
        <w:rPr>
          <w:b/>
          <w:sz w:val="28"/>
          <w:szCs w:val="28"/>
          <w:lang w:val="uk-UA"/>
        </w:rPr>
        <w:br/>
        <w:t>«</w:t>
      </w:r>
      <w:r w:rsidR="00351CE5">
        <w:rPr>
          <w:b/>
          <w:sz w:val="28"/>
          <w:szCs w:val="28"/>
          <w:lang w:val="uk-UA"/>
        </w:rPr>
        <w:t>г</w:t>
      </w:r>
      <w:r w:rsidR="00FE3133">
        <w:rPr>
          <w:b/>
          <w:sz w:val="28"/>
          <w:szCs w:val="28"/>
          <w:lang w:val="uk-UA"/>
        </w:rPr>
        <w:t>оловний спеціаліст</w:t>
      </w:r>
      <w:r w:rsidR="004527FA" w:rsidRPr="00BD7B6D">
        <w:rPr>
          <w:b/>
          <w:sz w:val="28"/>
          <w:szCs w:val="28"/>
          <w:lang w:val="uk-UA"/>
        </w:rPr>
        <w:t xml:space="preserve"> відділу </w:t>
      </w:r>
    </w:p>
    <w:p w:rsidR="00351CE5" w:rsidRDefault="004527FA" w:rsidP="004527FA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 xml:space="preserve">бухгалтерського обліку та </w:t>
      </w:r>
      <w:r w:rsidRPr="00D706DB">
        <w:rPr>
          <w:b/>
          <w:sz w:val="28"/>
          <w:szCs w:val="28"/>
          <w:lang w:val="uk-UA"/>
        </w:rPr>
        <w:t xml:space="preserve">економічного аналізу </w:t>
      </w:r>
    </w:p>
    <w:p w:rsidR="00720ED3" w:rsidRPr="00D706DB" w:rsidRDefault="004527FA" w:rsidP="004527FA">
      <w:pPr>
        <w:jc w:val="center"/>
        <w:rPr>
          <w:b/>
          <w:sz w:val="28"/>
          <w:szCs w:val="28"/>
          <w:lang w:val="uk-UA"/>
        </w:rPr>
      </w:pPr>
      <w:r w:rsidRPr="00D706DB">
        <w:rPr>
          <w:b/>
          <w:sz w:val="28"/>
          <w:szCs w:val="28"/>
          <w:lang w:val="uk-UA"/>
        </w:rPr>
        <w:t>Управління бухгалтерського обліку та звітності</w:t>
      </w:r>
      <w:r w:rsidR="00720ED3" w:rsidRPr="00D706DB">
        <w:rPr>
          <w:b/>
          <w:sz w:val="28"/>
          <w:szCs w:val="28"/>
          <w:lang w:val="uk-UA"/>
        </w:rPr>
        <w:t>»</w:t>
      </w:r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545"/>
        <w:gridCol w:w="6096"/>
      </w:tblGrid>
      <w:tr w:rsidR="007F4857" w:rsidTr="00FE7840">
        <w:tc>
          <w:tcPr>
            <w:tcW w:w="3545" w:type="dxa"/>
            <w:shd w:val="clear" w:color="auto" w:fill="auto"/>
          </w:tcPr>
          <w:p w:rsidR="007F4857" w:rsidRPr="00BD7B6D" w:rsidRDefault="007F4857" w:rsidP="00FE784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7F4857" w:rsidRDefault="007F4857" w:rsidP="00FE784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F4857" w:rsidRDefault="007F4857" w:rsidP="00FE784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F4857" w:rsidTr="00FE7840">
        <w:tc>
          <w:tcPr>
            <w:tcW w:w="3545" w:type="dxa"/>
            <w:shd w:val="clear" w:color="auto" w:fill="auto"/>
          </w:tcPr>
          <w:p w:rsidR="007F4857" w:rsidRPr="00BD7B6D" w:rsidRDefault="007F4857" w:rsidP="00FE784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7F4857" w:rsidRDefault="007F4857" w:rsidP="00FE784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Семен КРИВОНОС</w:t>
            </w:r>
          </w:p>
        </w:tc>
      </w:tr>
      <w:tr w:rsidR="007F4857" w:rsidTr="00FE7840">
        <w:tc>
          <w:tcPr>
            <w:tcW w:w="3545" w:type="dxa"/>
            <w:shd w:val="clear" w:color="auto" w:fill="auto"/>
          </w:tcPr>
          <w:p w:rsidR="007F4857" w:rsidRPr="00BD7B6D" w:rsidRDefault="007F4857" w:rsidP="00FE784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7F4857" w:rsidRDefault="007F4857" w:rsidP="00FE784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7F4857" w:rsidTr="00FE7840">
        <w:tc>
          <w:tcPr>
            <w:tcW w:w="3545" w:type="dxa"/>
            <w:shd w:val="clear" w:color="auto" w:fill="auto"/>
          </w:tcPr>
          <w:p w:rsidR="007F4857" w:rsidRPr="00BD7B6D" w:rsidRDefault="007F4857" w:rsidP="00FE784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7F4857" w:rsidRDefault="007F4857" w:rsidP="00FE7840">
            <w:pPr>
              <w:rPr>
                <w:lang w:val="uk-UA"/>
              </w:rPr>
            </w:pPr>
          </w:p>
          <w:p w:rsidR="007F4857" w:rsidRDefault="003837F0" w:rsidP="003837F0">
            <w:pPr>
              <w:rPr>
                <w:lang w:val="uk-UA"/>
              </w:rPr>
            </w:pPr>
            <w:r>
              <w:rPr>
                <w:lang w:val="uk-UA"/>
              </w:rPr>
              <w:t>«07</w:t>
            </w:r>
            <w:bookmarkStart w:id="0" w:name="_GoBack"/>
            <w:bookmarkEnd w:id="0"/>
            <w:r w:rsidR="007F4857">
              <w:rPr>
                <w:lang w:val="uk-UA"/>
              </w:rPr>
              <w:t>»  січня 2025 року</w:t>
            </w:r>
          </w:p>
        </w:tc>
      </w:tr>
      <w:tr w:rsidR="007F4857" w:rsidRPr="00BD7B6D" w:rsidTr="00FE7840">
        <w:tc>
          <w:tcPr>
            <w:tcW w:w="3545" w:type="dxa"/>
            <w:shd w:val="clear" w:color="auto" w:fill="auto"/>
          </w:tcPr>
          <w:p w:rsidR="007F4857" w:rsidRPr="00BD7B6D" w:rsidRDefault="007F4857" w:rsidP="00FE784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7F4857" w:rsidRPr="00BD7B6D" w:rsidRDefault="007F4857" w:rsidP="00FE784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972CE" w:rsidRPr="00D706DB" w:rsidRDefault="000972CE" w:rsidP="00720ED3">
      <w:pPr>
        <w:jc w:val="center"/>
        <w:rPr>
          <w:b/>
          <w:sz w:val="20"/>
          <w:szCs w:val="20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582"/>
        <w:gridCol w:w="5273"/>
      </w:tblGrid>
      <w:tr w:rsidR="00720ED3" w:rsidRPr="00BD7B6D" w:rsidTr="004527FA">
        <w:tc>
          <w:tcPr>
            <w:tcW w:w="666" w:type="dxa"/>
            <w:shd w:val="clear" w:color="auto" w:fill="auto"/>
            <w:vAlign w:val="center"/>
          </w:tcPr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BD7B6D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BD7B6D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BD7B6D" w:rsidTr="00194210">
        <w:tc>
          <w:tcPr>
            <w:tcW w:w="666" w:type="dxa"/>
            <w:shd w:val="clear" w:color="auto" w:fill="auto"/>
          </w:tcPr>
          <w:p w:rsidR="00720ED3" w:rsidRPr="00B77629" w:rsidRDefault="002C677F" w:rsidP="00351CE5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582" w:type="dxa"/>
            <w:shd w:val="clear" w:color="auto" w:fill="auto"/>
          </w:tcPr>
          <w:p w:rsidR="00720ED3" w:rsidRPr="00BD7B6D" w:rsidRDefault="00720ED3" w:rsidP="00FB28C9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73" w:type="dxa"/>
            <w:shd w:val="clear" w:color="auto" w:fill="auto"/>
          </w:tcPr>
          <w:p w:rsidR="00720ED3" w:rsidRPr="00BD7B6D" w:rsidRDefault="004527FA" w:rsidP="00FB28C9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Національне антикорупційне бюро України</w:t>
            </w:r>
          </w:p>
        </w:tc>
      </w:tr>
      <w:tr w:rsidR="004527FA" w:rsidRPr="00DC0FC5" w:rsidTr="00194210">
        <w:trPr>
          <w:trHeight w:val="512"/>
        </w:trPr>
        <w:tc>
          <w:tcPr>
            <w:tcW w:w="666" w:type="dxa"/>
            <w:shd w:val="clear" w:color="auto" w:fill="auto"/>
          </w:tcPr>
          <w:p w:rsidR="004527FA" w:rsidRPr="00B77629" w:rsidRDefault="002C677F" w:rsidP="00351CE5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582" w:type="dxa"/>
            <w:shd w:val="clear" w:color="auto" w:fill="auto"/>
          </w:tcPr>
          <w:p w:rsidR="00421611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структурного підрозділу</w:t>
            </w:r>
          </w:p>
          <w:p w:rsidR="004527FA" w:rsidRPr="00421611" w:rsidRDefault="004527FA" w:rsidP="00421611">
            <w:pPr>
              <w:rPr>
                <w:lang w:val="uk-UA"/>
              </w:rPr>
            </w:pPr>
          </w:p>
        </w:tc>
        <w:tc>
          <w:tcPr>
            <w:tcW w:w="5273" w:type="dxa"/>
            <w:shd w:val="clear" w:color="auto" w:fill="auto"/>
          </w:tcPr>
          <w:p w:rsidR="004527FA" w:rsidRPr="00BD7B6D" w:rsidRDefault="00D706DB" w:rsidP="00A375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D7B6D">
              <w:rPr>
                <w:lang w:val="uk-UA"/>
              </w:rPr>
              <w:t xml:space="preserve">ідділ бухгалтерського обліку та економічного аналізу </w:t>
            </w:r>
            <w:r w:rsidR="004527FA" w:rsidRPr="00BD7B6D">
              <w:rPr>
                <w:lang w:val="uk-UA"/>
              </w:rPr>
              <w:t xml:space="preserve">Управління бухгалтерського обліку та звітності </w:t>
            </w:r>
            <w:r w:rsidR="00351CE5" w:rsidRPr="00A252F1">
              <w:rPr>
                <w:lang w:val="uk-UA"/>
              </w:rPr>
              <w:t>Національного антикорупційного бюро України</w:t>
            </w:r>
          </w:p>
        </w:tc>
      </w:tr>
      <w:tr w:rsidR="004527FA" w:rsidRPr="00351CE5" w:rsidTr="00194210">
        <w:trPr>
          <w:trHeight w:val="309"/>
        </w:trPr>
        <w:tc>
          <w:tcPr>
            <w:tcW w:w="666" w:type="dxa"/>
            <w:shd w:val="clear" w:color="auto" w:fill="auto"/>
          </w:tcPr>
          <w:p w:rsidR="004527FA" w:rsidRPr="00B77629" w:rsidRDefault="002C677F" w:rsidP="00351CE5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582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посади</w:t>
            </w:r>
          </w:p>
        </w:tc>
        <w:tc>
          <w:tcPr>
            <w:tcW w:w="5273" w:type="dxa"/>
            <w:shd w:val="clear" w:color="auto" w:fill="auto"/>
          </w:tcPr>
          <w:p w:rsidR="004527FA" w:rsidRPr="00BD7B6D" w:rsidRDefault="00FE3133" w:rsidP="00351CE5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  <w:r w:rsidR="00351CE5">
              <w:rPr>
                <w:lang w:val="uk-UA"/>
              </w:rPr>
              <w:t xml:space="preserve"> в</w:t>
            </w:r>
            <w:r w:rsidR="00351CE5" w:rsidRPr="00BD7B6D">
              <w:rPr>
                <w:lang w:val="uk-UA"/>
              </w:rPr>
              <w:t>ідділ</w:t>
            </w:r>
            <w:r w:rsidR="00351CE5">
              <w:rPr>
                <w:lang w:val="uk-UA"/>
              </w:rPr>
              <w:t>у</w:t>
            </w:r>
            <w:r w:rsidR="00351CE5" w:rsidRPr="00BD7B6D">
              <w:rPr>
                <w:lang w:val="uk-UA"/>
              </w:rPr>
              <w:t xml:space="preserve"> бухгалтерського обліку та економічного аналізу Управління бухгалтерського обліку та звітності</w:t>
            </w:r>
          </w:p>
        </w:tc>
      </w:tr>
      <w:tr w:rsidR="004527FA" w:rsidRPr="00BD7B6D" w:rsidTr="00194210">
        <w:tc>
          <w:tcPr>
            <w:tcW w:w="666" w:type="dxa"/>
            <w:shd w:val="clear" w:color="auto" w:fill="auto"/>
          </w:tcPr>
          <w:p w:rsidR="004527FA" w:rsidRPr="0088737D" w:rsidRDefault="002C677F" w:rsidP="00351CE5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582" w:type="dxa"/>
            <w:shd w:val="clear" w:color="auto" w:fill="auto"/>
          </w:tcPr>
          <w:p w:rsidR="004527FA" w:rsidRPr="00BD7B6D" w:rsidRDefault="004527FA" w:rsidP="0088737D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 xml:space="preserve">Категорія посади </w:t>
            </w:r>
          </w:p>
        </w:tc>
        <w:tc>
          <w:tcPr>
            <w:tcW w:w="5273" w:type="dxa"/>
            <w:shd w:val="clear" w:color="auto" w:fill="auto"/>
          </w:tcPr>
          <w:p w:rsidR="004527FA" w:rsidRPr="00BD7B6D" w:rsidRDefault="00FF03C0" w:rsidP="00FE3133">
            <w:pPr>
              <w:rPr>
                <w:lang w:val="uk-UA"/>
              </w:rPr>
            </w:pPr>
            <w:r w:rsidRPr="00BD7B6D">
              <w:rPr>
                <w:lang w:val="uk-UA"/>
              </w:rPr>
              <w:t>«</w:t>
            </w:r>
            <w:r w:rsidR="00FE3133">
              <w:rPr>
                <w:lang w:val="uk-UA"/>
              </w:rPr>
              <w:t>В</w:t>
            </w:r>
            <w:r w:rsidRPr="00BD7B6D">
              <w:rPr>
                <w:lang w:val="uk-UA"/>
              </w:rPr>
              <w:t>»</w:t>
            </w:r>
          </w:p>
        </w:tc>
      </w:tr>
      <w:tr w:rsidR="004527FA" w:rsidRPr="00BD7B6D" w:rsidTr="00194210">
        <w:tc>
          <w:tcPr>
            <w:tcW w:w="666" w:type="dxa"/>
            <w:shd w:val="clear" w:color="auto" w:fill="auto"/>
          </w:tcPr>
          <w:p w:rsidR="004527FA" w:rsidRPr="0088737D" w:rsidRDefault="002C677F" w:rsidP="00351CE5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582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>Мета посади</w:t>
            </w:r>
          </w:p>
        </w:tc>
        <w:tc>
          <w:tcPr>
            <w:tcW w:w="5273" w:type="dxa"/>
            <w:shd w:val="clear" w:color="auto" w:fill="auto"/>
          </w:tcPr>
          <w:p w:rsidR="004527FA" w:rsidRPr="00BD7B6D" w:rsidRDefault="00A3755D" w:rsidP="004527FA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Організація та в</w:t>
            </w:r>
            <w:r w:rsidRPr="00387C52">
              <w:rPr>
                <w:color w:val="000000"/>
                <w:lang w:val="uk-UA"/>
              </w:rPr>
              <w:t xml:space="preserve">едення бухгалтерського обліку та </w:t>
            </w:r>
            <w:r>
              <w:rPr>
                <w:color w:val="000000"/>
                <w:lang w:val="uk-UA"/>
              </w:rPr>
              <w:t xml:space="preserve">здійснення </w:t>
            </w:r>
            <w:r w:rsidRPr="00387C52">
              <w:rPr>
                <w:color w:val="000000"/>
                <w:lang w:val="uk-UA"/>
              </w:rPr>
              <w:t>економічн</w:t>
            </w:r>
            <w:r>
              <w:rPr>
                <w:color w:val="000000"/>
                <w:lang w:val="uk-UA"/>
              </w:rPr>
              <w:t>ого</w:t>
            </w:r>
            <w:r w:rsidRPr="00387C52">
              <w:rPr>
                <w:color w:val="000000"/>
                <w:lang w:val="uk-UA"/>
              </w:rPr>
              <w:t xml:space="preserve"> аналіз</w:t>
            </w:r>
            <w:r>
              <w:rPr>
                <w:color w:val="000000"/>
                <w:lang w:val="uk-UA"/>
              </w:rPr>
              <w:t>у</w:t>
            </w:r>
            <w:r w:rsidRPr="005C72B8">
              <w:rPr>
                <w:color w:val="000000"/>
                <w:lang w:val="uk-UA"/>
              </w:rPr>
              <w:t xml:space="preserve"> використання транспортних засобів, у тому числі спеціалізованого призначення та </w:t>
            </w:r>
            <w:r w:rsidRPr="005C72B8">
              <w:rPr>
                <w:lang w:val="uk-UA"/>
              </w:rPr>
              <w:t>товарно-матеріальних цінностей.</w:t>
            </w:r>
            <w:bookmarkStart w:id="1" w:name="163"/>
            <w:bookmarkEnd w:id="1"/>
          </w:p>
        </w:tc>
      </w:tr>
      <w:tr w:rsidR="004527FA" w:rsidRPr="00DC0FC5" w:rsidTr="00194210">
        <w:tc>
          <w:tcPr>
            <w:tcW w:w="666" w:type="dxa"/>
            <w:shd w:val="clear" w:color="auto" w:fill="auto"/>
          </w:tcPr>
          <w:p w:rsidR="004527FA" w:rsidRPr="00B77629" w:rsidRDefault="002C677F" w:rsidP="00351CE5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582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73" w:type="dxa"/>
            <w:shd w:val="clear" w:color="auto" w:fill="auto"/>
          </w:tcPr>
          <w:p w:rsidR="004527FA" w:rsidRPr="002C2E8D" w:rsidRDefault="003879B3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2C2E8D">
              <w:rPr>
                <w:lang w:val="uk-UA"/>
              </w:rPr>
              <w:t>з</w:t>
            </w:r>
            <w:r w:rsidR="00A3755D" w:rsidRPr="002C2E8D">
              <w:rPr>
                <w:lang w:val="uk-UA"/>
              </w:rPr>
              <w:t>абезпечення ведення бухгалтерського обліку відповідно до вимог нормативно-правових актів щодо ведення бухгалтерського обліку з використанням наявної в Національному бюро уніфікованої автоматизованої системи бухгалтерського обліку та звітності;</w:t>
            </w:r>
          </w:p>
          <w:p w:rsidR="00A3755D" w:rsidRPr="002C2E8D" w:rsidRDefault="003879B3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2C2E8D">
              <w:rPr>
                <w:lang w:val="uk-UA"/>
              </w:rPr>
              <w:t>з</w:t>
            </w:r>
            <w:r w:rsidR="00A31152" w:rsidRPr="002C2E8D">
              <w:rPr>
                <w:lang w:val="uk-UA"/>
              </w:rPr>
              <w:t>абезпечення приймання та перевірки первинних документів щодо наявності в них усіх обов'язкових реквізитів та правильності їх заповнення, відповідності господарських операцій вимогам нормативно-правових актів, а також їх арифметичну перевірку;</w:t>
            </w:r>
          </w:p>
          <w:p w:rsidR="00A31152" w:rsidRPr="002C2E8D" w:rsidRDefault="003879B3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2C2E8D">
              <w:rPr>
                <w:lang w:val="uk-UA"/>
              </w:rPr>
              <w:t>з</w:t>
            </w:r>
            <w:r w:rsidR="00A31152" w:rsidRPr="002C2E8D">
              <w:rPr>
                <w:lang w:val="uk-UA"/>
              </w:rPr>
              <w:t>абезпечення</w:t>
            </w:r>
            <w:r w:rsidRPr="002C2E8D">
              <w:rPr>
                <w:lang w:val="uk-UA"/>
              </w:rPr>
              <w:t xml:space="preserve"> бухгалтерського та</w:t>
            </w:r>
            <w:r w:rsidR="00A31152" w:rsidRPr="002C2E8D">
              <w:rPr>
                <w:lang w:val="uk-UA"/>
              </w:rPr>
              <w:t xml:space="preserve"> аналітичного обліку транспортних засобів, у тому числі спеціалізованого призначення, за кожним об'єктом автотранспорту в експлуатації;</w:t>
            </w:r>
          </w:p>
          <w:p w:rsidR="00A31152" w:rsidRPr="002C2E8D" w:rsidRDefault="003879B3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2C2E8D">
              <w:rPr>
                <w:lang w:val="uk-UA"/>
              </w:rPr>
              <w:t>з</w:t>
            </w:r>
            <w:r w:rsidR="00A31152" w:rsidRPr="002C2E8D">
              <w:rPr>
                <w:lang w:val="uk-UA"/>
              </w:rPr>
              <w:t>абезпечення аналітичного обліку робіт з ремонту й технічного обслуговування автотранспортних засобів, у тому числі спеціалізованого призначення;</w:t>
            </w:r>
          </w:p>
          <w:p w:rsidR="000972CE" w:rsidRPr="002C2E8D" w:rsidRDefault="003879B3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2C2E8D">
              <w:rPr>
                <w:lang w:val="uk-UA"/>
              </w:rPr>
              <w:t>з</w:t>
            </w:r>
            <w:r w:rsidR="00D60DF4" w:rsidRPr="002C2E8D">
              <w:rPr>
                <w:lang w:val="uk-UA"/>
              </w:rPr>
              <w:t xml:space="preserve">абезпечення ведення бухгалтерського обліку за рахунками бухгалтерського обліку: </w:t>
            </w:r>
          </w:p>
          <w:p w:rsidR="00D60DF4" w:rsidRPr="002C2E8D" w:rsidRDefault="00D60DF4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2C2E8D">
              <w:rPr>
                <w:lang w:val="uk-UA"/>
              </w:rPr>
              <w:lastRenderedPageBreak/>
              <w:t>1015 «Транспортні засоби» із додаванням всіх первинних документів до меморіального ордера № 9 «Накопичувальна відомість про вибуття та переміщення необоротних активів»;</w:t>
            </w:r>
          </w:p>
          <w:p w:rsidR="00D60DF4" w:rsidRPr="002C2E8D" w:rsidRDefault="00D60DF4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2C2E8D">
              <w:rPr>
                <w:lang w:val="uk-UA"/>
              </w:rPr>
              <w:t xml:space="preserve">1812 «Малоцінні та швидкозношувані предмети» за датами здійснення господарських операцій, за винятком операцій за бухгалтерським рахунком 1812 «Малоцінні та швидкозношувані предмети» (спеціального призначення) </w:t>
            </w:r>
            <w:r w:rsidR="003B79EC" w:rsidRPr="002C2E8D">
              <w:rPr>
                <w:lang w:val="uk-UA"/>
              </w:rPr>
              <w:t xml:space="preserve">із додаванням всіх первинних документів до </w:t>
            </w:r>
            <w:r w:rsidRPr="002C2E8D">
              <w:rPr>
                <w:lang w:val="uk-UA"/>
              </w:rPr>
              <w:t>меморіальн</w:t>
            </w:r>
            <w:r w:rsidR="003B79EC" w:rsidRPr="002C2E8D">
              <w:rPr>
                <w:lang w:val="uk-UA"/>
              </w:rPr>
              <w:t>ого</w:t>
            </w:r>
            <w:r w:rsidRPr="002C2E8D">
              <w:rPr>
                <w:lang w:val="uk-UA"/>
              </w:rPr>
              <w:t xml:space="preserve"> ордер</w:t>
            </w:r>
            <w:r w:rsidR="003B79EC" w:rsidRPr="002C2E8D">
              <w:rPr>
                <w:lang w:val="uk-UA"/>
              </w:rPr>
              <w:t>а</w:t>
            </w:r>
            <w:r w:rsidRPr="002C2E8D">
              <w:rPr>
                <w:lang w:val="uk-UA"/>
              </w:rPr>
              <w:t xml:space="preserve"> № 10 «Накопичувальна відомість про вибуття та переміщення малоцінних та швидкозношуваних предметів»</w:t>
            </w:r>
            <w:r w:rsidR="003B79EC" w:rsidRPr="002C2E8D">
              <w:rPr>
                <w:lang w:val="uk-UA"/>
              </w:rPr>
              <w:t>;</w:t>
            </w:r>
          </w:p>
          <w:p w:rsidR="00A31152" w:rsidRPr="002C2E8D" w:rsidRDefault="00D60DF4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2C2E8D">
              <w:rPr>
                <w:lang w:val="uk-UA"/>
              </w:rPr>
              <w:t>1514 «Пал</w:t>
            </w:r>
            <w:r w:rsidR="005443ED" w:rsidRPr="002C2E8D">
              <w:rPr>
                <w:lang w:val="uk-UA"/>
              </w:rPr>
              <w:t>ьно-мастильні матеріали»</w:t>
            </w:r>
            <w:r w:rsidRPr="002C2E8D">
              <w:rPr>
                <w:lang w:val="uk-UA"/>
              </w:rPr>
              <w:t>, 1515</w:t>
            </w:r>
            <w:r w:rsidR="005443ED" w:rsidRPr="002C2E8D">
              <w:rPr>
                <w:lang w:val="uk-UA"/>
              </w:rPr>
              <w:t> </w:t>
            </w:r>
            <w:r w:rsidRPr="002C2E8D">
              <w:rPr>
                <w:lang w:val="uk-UA"/>
              </w:rPr>
              <w:t>«Запасні частини» (в частині обліку запасних частин до транспортних засобів) із додаванням всіх первинних документів до меморіального ордера № 13 «Накопичувальна відомість витрачання виробничих запасів»;</w:t>
            </w:r>
          </w:p>
          <w:p w:rsidR="00DA0359" w:rsidRPr="002C2E8D" w:rsidRDefault="003879B3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2C2E8D">
              <w:rPr>
                <w:lang w:val="uk-UA"/>
              </w:rPr>
              <w:t>з</w:t>
            </w:r>
            <w:r w:rsidR="00DA0359" w:rsidRPr="002C2E8D">
              <w:rPr>
                <w:lang w:val="uk-UA"/>
              </w:rPr>
              <w:t>абезпечення контролю за виконанням умов договорів щодо порядку розрахунків, відповідності перерахованих коштів обсягам виконаних робіт, наданих товарів (робіт, послуг) за договорами що стосуються матеріально-технічного забезпечення територіальних управлінь Національного бюро, придбання та використання транспортних засобів, у тому числі спеціалізованого призначення</w:t>
            </w:r>
            <w:r w:rsidR="00555E82" w:rsidRPr="002C2E8D">
              <w:rPr>
                <w:lang w:val="uk-UA"/>
              </w:rPr>
              <w:t>;</w:t>
            </w:r>
          </w:p>
          <w:p w:rsidR="00D60DF4" w:rsidRPr="002C2E8D" w:rsidRDefault="003879B3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2C2E8D">
              <w:rPr>
                <w:lang w:val="uk-UA"/>
              </w:rPr>
              <w:t>в</w:t>
            </w:r>
            <w:r w:rsidR="00D60DF4" w:rsidRPr="002C2E8D">
              <w:rPr>
                <w:lang w:val="uk-UA"/>
              </w:rPr>
              <w:t>життя заходів щодо цільового та ефективного використання бюджетних коштів і матеріальних цінностей;</w:t>
            </w:r>
          </w:p>
          <w:p w:rsidR="00D60DF4" w:rsidRPr="002C2E8D" w:rsidRDefault="003879B3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2C2E8D">
              <w:rPr>
                <w:lang w:val="uk-UA"/>
              </w:rPr>
              <w:t>з</w:t>
            </w:r>
            <w:r w:rsidR="00D60DF4" w:rsidRPr="002C2E8D">
              <w:rPr>
                <w:lang w:val="uk-UA"/>
              </w:rPr>
              <w:t>абезпечення проведення та оформлення результатів інвентаризації активів і зобов'язань Національного бюро, матеріалів про виявлені нестачі, крадіжки та псування активів;</w:t>
            </w:r>
          </w:p>
          <w:p w:rsidR="00D60DF4" w:rsidRPr="002C2E8D" w:rsidRDefault="00D60DF4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2C2E8D">
              <w:rPr>
                <w:lang w:val="uk-UA"/>
              </w:rPr>
              <w:t>-</w:t>
            </w:r>
            <w:r w:rsidR="00A20DA0" w:rsidRPr="002C2E8D">
              <w:rPr>
                <w:lang w:val="uk-UA"/>
              </w:rPr>
              <w:t> </w:t>
            </w:r>
            <w:r w:rsidR="003879B3" w:rsidRPr="002C2E8D">
              <w:rPr>
                <w:lang w:val="uk-UA"/>
              </w:rPr>
              <w:t>з</w:t>
            </w:r>
            <w:r w:rsidRPr="002C2E8D">
              <w:rPr>
                <w:lang w:val="uk-UA"/>
              </w:rPr>
              <w:t>абезпечення підготовки первинних документів, регістрів бухгалтерського обліку та звітності для зберігання їх протягом встановлених термінів і передачі їх до архіву.</w:t>
            </w:r>
          </w:p>
        </w:tc>
      </w:tr>
      <w:tr w:rsidR="004527FA" w:rsidRPr="00BD7B6D" w:rsidTr="00D26B2F">
        <w:trPr>
          <w:trHeight w:val="535"/>
        </w:trPr>
        <w:tc>
          <w:tcPr>
            <w:tcW w:w="666" w:type="dxa"/>
            <w:shd w:val="clear" w:color="auto" w:fill="auto"/>
            <w:vAlign w:val="center"/>
          </w:tcPr>
          <w:p w:rsidR="004527FA" w:rsidRPr="00BD7B6D" w:rsidRDefault="004527FA" w:rsidP="004527FA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4527FA" w:rsidRPr="00BD7B6D" w:rsidRDefault="004527FA" w:rsidP="000972CE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t>КВАЛІФІКАЦІЙНІ ВИМОГИ</w:t>
            </w:r>
          </w:p>
        </w:tc>
      </w:tr>
      <w:tr w:rsidR="004527FA" w:rsidRPr="00BD7B6D" w:rsidTr="002C2E8D">
        <w:trPr>
          <w:trHeight w:val="316"/>
        </w:trPr>
        <w:tc>
          <w:tcPr>
            <w:tcW w:w="9521" w:type="dxa"/>
            <w:gridSpan w:val="3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BD7B6D">
              <w:rPr>
                <w:i/>
                <w:lang w:val="uk-UA"/>
              </w:rPr>
              <w:t>Загальні вимоги</w:t>
            </w:r>
          </w:p>
        </w:tc>
      </w:tr>
      <w:tr w:rsidR="004527FA" w:rsidRPr="00BD7B6D" w:rsidTr="00194210">
        <w:tc>
          <w:tcPr>
            <w:tcW w:w="666" w:type="dxa"/>
            <w:vMerge w:val="restart"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1.1.</w:t>
            </w:r>
          </w:p>
        </w:tc>
        <w:tc>
          <w:tcPr>
            <w:tcW w:w="3582" w:type="dxa"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Освіта</w:t>
            </w:r>
          </w:p>
        </w:tc>
        <w:tc>
          <w:tcPr>
            <w:tcW w:w="5273" w:type="dxa"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Вища економічна</w:t>
            </w:r>
            <w:r w:rsidR="00FF03C0" w:rsidRPr="00C55526">
              <w:rPr>
                <w:lang w:val="uk-UA"/>
              </w:rPr>
              <w:t xml:space="preserve"> освіта</w:t>
            </w:r>
          </w:p>
        </w:tc>
      </w:tr>
      <w:tr w:rsidR="004527FA" w:rsidRPr="00BD7B6D" w:rsidTr="00194210">
        <w:tc>
          <w:tcPr>
            <w:tcW w:w="666" w:type="dxa"/>
            <w:vMerge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</w:p>
        </w:tc>
        <w:tc>
          <w:tcPr>
            <w:tcW w:w="3582" w:type="dxa"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Ступінь вищої освіти</w:t>
            </w:r>
          </w:p>
        </w:tc>
        <w:tc>
          <w:tcPr>
            <w:tcW w:w="5273" w:type="dxa"/>
            <w:shd w:val="clear" w:color="auto" w:fill="auto"/>
          </w:tcPr>
          <w:p w:rsidR="004527FA" w:rsidRPr="00C55526" w:rsidRDefault="00FF03C0" w:rsidP="00F26EC9">
            <w:pPr>
              <w:rPr>
                <w:lang w:val="uk-UA"/>
              </w:rPr>
            </w:pPr>
            <w:r w:rsidRPr="00C55526">
              <w:rPr>
                <w:lang w:val="uk-UA"/>
              </w:rPr>
              <w:t xml:space="preserve">Магістр (спеціаліст), бакалавр (дипломований </w:t>
            </w:r>
            <w:r w:rsidRPr="003C7C62">
              <w:rPr>
                <w:lang w:val="uk-UA"/>
              </w:rPr>
              <w:t>після 201</w:t>
            </w:r>
            <w:r w:rsidR="00F26EC9" w:rsidRPr="003C7C62">
              <w:rPr>
                <w:lang w:val="uk-UA"/>
              </w:rPr>
              <w:t>5</w:t>
            </w:r>
            <w:r w:rsidRPr="003C7C62">
              <w:rPr>
                <w:lang w:val="uk-UA"/>
              </w:rPr>
              <w:t xml:space="preserve"> р.)</w:t>
            </w:r>
          </w:p>
        </w:tc>
      </w:tr>
      <w:tr w:rsidR="004527FA" w:rsidRPr="00BD7B6D" w:rsidTr="00194210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1.2</w:t>
            </w:r>
          </w:p>
        </w:tc>
        <w:tc>
          <w:tcPr>
            <w:tcW w:w="3582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 xml:space="preserve">Стаж роботи </w:t>
            </w:r>
            <w:r w:rsidRPr="00BD7B6D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273" w:type="dxa"/>
            <w:shd w:val="clear" w:color="auto" w:fill="auto"/>
          </w:tcPr>
          <w:p w:rsidR="004527FA" w:rsidRPr="00BD7B6D" w:rsidRDefault="00FF03C0" w:rsidP="000802FD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Стаж роботи </w:t>
            </w:r>
            <w:r w:rsidRPr="00BD7B6D">
              <w:rPr>
                <w:spacing w:val="-4"/>
                <w:shd w:val="clear" w:color="auto" w:fill="FFFFFF"/>
                <w:lang w:val="uk-UA"/>
              </w:rPr>
              <w:t xml:space="preserve">протягом </w:t>
            </w:r>
            <w:r w:rsidR="000802FD">
              <w:rPr>
                <w:spacing w:val="-4"/>
                <w:shd w:val="clear" w:color="auto" w:fill="FFFFFF"/>
                <w:lang w:val="uk-UA"/>
              </w:rPr>
              <w:t>дв</w:t>
            </w:r>
            <w:r w:rsidR="00A97C1D">
              <w:rPr>
                <w:spacing w:val="-4"/>
                <w:shd w:val="clear" w:color="auto" w:fill="FFFFFF"/>
                <w:lang w:val="uk-UA"/>
              </w:rPr>
              <w:t>ох</w:t>
            </w:r>
            <w:r w:rsidRPr="00BD7B6D">
              <w:rPr>
                <w:spacing w:val="-4"/>
                <w:shd w:val="clear" w:color="auto" w:fill="FFFFFF"/>
                <w:lang w:val="uk-UA"/>
              </w:rPr>
              <w:t xml:space="preserve"> років</w:t>
            </w:r>
            <w:r w:rsidRPr="00BD7B6D">
              <w:rPr>
                <w:lang w:val="uk-UA"/>
              </w:rPr>
              <w:t xml:space="preserve"> </w:t>
            </w:r>
            <w:r w:rsidR="004527FA" w:rsidRPr="00BD7B6D">
              <w:rPr>
                <w:lang w:val="uk-UA"/>
              </w:rPr>
              <w:t>у сфері бухгалтерського обліку та звітності</w:t>
            </w:r>
          </w:p>
        </w:tc>
      </w:tr>
      <w:tr w:rsidR="004527FA" w:rsidRPr="00BD7B6D" w:rsidTr="00194210">
        <w:tc>
          <w:tcPr>
            <w:tcW w:w="666" w:type="dxa"/>
            <w:shd w:val="clear" w:color="auto" w:fill="auto"/>
          </w:tcPr>
          <w:p w:rsidR="004527FA" w:rsidRPr="00BD7B6D" w:rsidDel="00E7634A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1.3</w:t>
            </w:r>
          </w:p>
        </w:tc>
        <w:tc>
          <w:tcPr>
            <w:tcW w:w="3582" w:type="dxa"/>
            <w:shd w:val="clear" w:color="auto" w:fill="auto"/>
          </w:tcPr>
          <w:p w:rsidR="004527FA" w:rsidRPr="00BD7B6D" w:rsidDel="00E7634A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Володіння державною мовою</w:t>
            </w:r>
          </w:p>
        </w:tc>
        <w:tc>
          <w:tcPr>
            <w:tcW w:w="5273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Вільно</w:t>
            </w:r>
          </w:p>
        </w:tc>
      </w:tr>
      <w:tr w:rsidR="004527FA" w:rsidRPr="00BD7B6D" w:rsidTr="00194210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1.4</w:t>
            </w:r>
          </w:p>
        </w:tc>
        <w:tc>
          <w:tcPr>
            <w:tcW w:w="3582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Володіння іноземними мовами</w:t>
            </w:r>
          </w:p>
        </w:tc>
        <w:tc>
          <w:tcPr>
            <w:tcW w:w="5273" w:type="dxa"/>
            <w:shd w:val="clear" w:color="auto" w:fill="auto"/>
          </w:tcPr>
          <w:p w:rsidR="004527FA" w:rsidRPr="00BD7B6D" w:rsidRDefault="003879B3" w:rsidP="004527FA">
            <w:pPr>
              <w:rPr>
                <w:lang w:val="uk-UA"/>
              </w:rPr>
            </w:pPr>
            <w:r w:rsidRPr="00013E84">
              <w:t xml:space="preserve">Є </w:t>
            </w:r>
            <w:proofErr w:type="spellStart"/>
            <w:r w:rsidRPr="00013E84">
              <w:t>додатковою</w:t>
            </w:r>
            <w:proofErr w:type="spellEnd"/>
            <w:r w:rsidRPr="00013E84">
              <w:t xml:space="preserve"> </w:t>
            </w:r>
            <w:proofErr w:type="spellStart"/>
            <w:r w:rsidRPr="00013E84">
              <w:t>перевагою</w:t>
            </w:r>
            <w:proofErr w:type="spellEnd"/>
          </w:p>
        </w:tc>
      </w:tr>
      <w:tr w:rsidR="004527FA" w:rsidRPr="00BD7B6D" w:rsidTr="00194210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lastRenderedPageBreak/>
              <w:t>1.5</w:t>
            </w:r>
          </w:p>
        </w:tc>
        <w:tc>
          <w:tcPr>
            <w:tcW w:w="3582" w:type="dxa"/>
            <w:shd w:val="clear" w:color="auto" w:fill="auto"/>
          </w:tcPr>
          <w:p w:rsidR="004527FA" w:rsidRPr="00BD7B6D" w:rsidRDefault="004527FA" w:rsidP="004527F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273" w:type="dxa"/>
            <w:shd w:val="clear" w:color="auto" w:fill="auto"/>
          </w:tcPr>
          <w:p w:rsidR="002C2E8D" w:rsidRDefault="002C2E8D" w:rsidP="002C2E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Безстрокове призначення.</w:t>
            </w:r>
          </w:p>
          <w:p w:rsidR="00D60DF4" w:rsidRPr="00BD7B6D" w:rsidRDefault="002C2E8D" w:rsidP="002C2E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527FA" w:rsidRPr="00BD7B6D" w:rsidTr="00D26B2F">
        <w:trPr>
          <w:trHeight w:val="555"/>
        </w:trPr>
        <w:tc>
          <w:tcPr>
            <w:tcW w:w="9521" w:type="dxa"/>
            <w:gridSpan w:val="3"/>
            <w:shd w:val="clear" w:color="auto" w:fill="auto"/>
          </w:tcPr>
          <w:p w:rsidR="004527FA" w:rsidRPr="00BD7B6D" w:rsidRDefault="004527FA" w:rsidP="004527FA">
            <w:pPr>
              <w:jc w:val="center"/>
              <w:rPr>
                <w:i/>
                <w:lang w:val="uk-UA"/>
              </w:rPr>
            </w:pPr>
            <w:r w:rsidRPr="00BD7B6D">
              <w:rPr>
                <w:i/>
                <w:lang w:val="uk-UA"/>
              </w:rPr>
              <w:t>2. Спеціальні вимоги</w:t>
            </w:r>
          </w:p>
        </w:tc>
      </w:tr>
      <w:tr w:rsidR="004527FA" w:rsidRPr="00DC0FC5" w:rsidTr="00194210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2.1</w:t>
            </w:r>
          </w:p>
        </w:tc>
        <w:tc>
          <w:tcPr>
            <w:tcW w:w="3582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273" w:type="dxa"/>
            <w:shd w:val="clear" w:color="auto" w:fill="auto"/>
          </w:tcPr>
          <w:p w:rsidR="004527FA" w:rsidRPr="00255C13" w:rsidRDefault="002C2E8D" w:rsidP="00F408E6">
            <w:pPr>
              <w:jc w:val="both"/>
              <w:rPr>
                <w:lang w:val="uk-UA"/>
              </w:rPr>
            </w:pPr>
            <w:r w:rsidRPr="00CD4591">
              <w:rPr>
                <w:color w:val="000000" w:themeColor="text1"/>
                <w:lang w:val="uk-UA"/>
              </w:rPr>
              <w:t>Облік і оподаткування; фінанси, банківська справа, страхування та фондовий ринок; менеджмент; торгівля; економіка</w:t>
            </w:r>
          </w:p>
        </w:tc>
      </w:tr>
      <w:tr w:rsidR="004527FA" w:rsidRPr="00BD7B6D" w:rsidTr="00194210">
        <w:tc>
          <w:tcPr>
            <w:tcW w:w="666" w:type="dxa"/>
            <w:shd w:val="clear" w:color="auto" w:fill="auto"/>
          </w:tcPr>
          <w:p w:rsidR="004527FA" w:rsidRPr="00C55526" w:rsidRDefault="004527FA" w:rsidP="004527FA">
            <w:pPr>
              <w:rPr>
                <w:caps/>
                <w:lang w:val="uk-UA"/>
              </w:rPr>
            </w:pPr>
            <w:r w:rsidRPr="00C55526">
              <w:rPr>
                <w:caps/>
                <w:lang w:val="uk-UA"/>
              </w:rPr>
              <w:t>2.2</w:t>
            </w:r>
          </w:p>
        </w:tc>
        <w:tc>
          <w:tcPr>
            <w:tcW w:w="3582" w:type="dxa"/>
            <w:shd w:val="clear" w:color="auto" w:fill="auto"/>
          </w:tcPr>
          <w:p w:rsidR="004527FA" w:rsidRPr="00C55526" w:rsidRDefault="004527FA" w:rsidP="004527FA">
            <w:pPr>
              <w:rPr>
                <w:caps/>
                <w:lang w:val="uk-UA"/>
              </w:rPr>
            </w:pPr>
            <w:r w:rsidRPr="00C55526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273" w:type="dxa"/>
            <w:shd w:val="clear" w:color="auto" w:fill="auto"/>
          </w:tcPr>
          <w:p w:rsidR="004527FA" w:rsidRPr="00C55526" w:rsidRDefault="00FF03C0" w:rsidP="000802FD">
            <w:pPr>
              <w:jc w:val="both"/>
              <w:rPr>
                <w:lang w:val="uk-UA"/>
              </w:rPr>
            </w:pPr>
            <w:r w:rsidRPr="00C55526">
              <w:rPr>
                <w:lang w:val="uk-UA"/>
              </w:rPr>
              <w:t xml:space="preserve">Досвід роботи у сфері бухгалтерського обліку та звітності </w:t>
            </w:r>
            <w:r w:rsidRPr="00C55526">
              <w:rPr>
                <w:spacing w:val="-4"/>
                <w:shd w:val="clear" w:color="auto" w:fill="FFFFFF"/>
                <w:lang w:val="uk-UA"/>
              </w:rPr>
              <w:t xml:space="preserve">протягом </w:t>
            </w:r>
            <w:r w:rsidR="000802FD">
              <w:rPr>
                <w:spacing w:val="-4"/>
                <w:shd w:val="clear" w:color="auto" w:fill="FFFFFF"/>
                <w:lang w:val="uk-UA"/>
              </w:rPr>
              <w:t>дв</w:t>
            </w:r>
            <w:r w:rsidR="00A97C1D">
              <w:rPr>
                <w:spacing w:val="-4"/>
                <w:shd w:val="clear" w:color="auto" w:fill="FFFFFF"/>
                <w:lang w:val="uk-UA"/>
              </w:rPr>
              <w:t>ох</w:t>
            </w:r>
            <w:r w:rsidRPr="00C55526">
              <w:rPr>
                <w:spacing w:val="-4"/>
                <w:shd w:val="clear" w:color="auto" w:fill="FFFFFF"/>
                <w:lang w:val="uk-UA"/>
              </w:rPr>
              <w:t xml:space="preserve"> років</w:t>
            </w:r>
            <w:r w:rsidR="00DB32B1" w:rsidRPr="00C55526">
              <w:rPr>
                <w:spacing w:val="-4"/>
                <w:shd w:val="clear" w:color="auto" w:fill="FFFFFF"/>
                <w:lang w:val="uk-UA"/>
              </w:rPr>
              <w:t>,</w:t>
            </w:r>
            <w:r w:rsidR="00DB32B1" w:rsidRPr="00C55526">
              <w:rPr>
                <w:lang w:val="uk-UA"/>
              </w:rPr>
              <w:t xml:space="preserve"> у тому числі з питань обліку придбання та витрачання палив</w:t>
            </w:r>
            <w:r w:rsidR="004264DD">
              <w:rPr>
                <w:lang w:val="uk-UA"/>
              </w:rPr>
              <w:t>н</w:t>
            </w:r>
            <w:r w:rsidR="00DB32B1" w:rsidRPr="00C55526">
              <w:rPr>
                <w:lang w:val="uk-UA"/>
              </w:rPr>
              <w:t>о-мастильних матеріалів для транспортних засобів</w:t>
            </w:r>
          </w:p>
        </w:tc>
      </w:tr>
      <w:tr w:rsidR="004527FA" w:rsidRPr="00DC0FC5" w:rsidTr="00194210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2.3</w:t>
            </w:r>
          </w:p>
        </w:tc>
        <w:tc>
          <w:tcPr>
            <w:tcW w:w="3582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273" w:type="dxa"/>
            <w:shd w:val="clear" w:color="auto" w:fill="auto"/>
          </w:tcPr>
          <w:p w:rsidR="004527FA" w:rsidRPr="00BD7B6D" w:rsidRDefault="004527FA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Конституція України;</w:t>
            </w:r>
          </w:p>
          <w:p w:rsidR="004527FA" w:rsidRDefault="004527FA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3879B3" w:rsidRPr="00BD7B6D" w:rsidRDefault="003879B3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Закон Укр</w:t>
            </w:r>
            <w:r w:rsidR="009473F8">
              <w:rPr>
                <w:lang w:val="uk-UA"/>
              </w:rPr>
              <w:t>аїни «Про запобігання корупції»;</w:t>
            </w:r>
          </w:p>
          <w:p w:rsidR="004527FA" w:rsidRPr="00BD7B6D" w:rsidRDefault="004527FA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законодавство України у сфері державного управління, зокрема Закон України «Про державну службу»;</w:t>
            </w:r>
          </w:p>
          <w:p w:rsidR="004527FA" w:rsidRPr="00BD7B6D" w:rsidRDefault="004527FA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закони, інші акти законодавства з питань регулювання господарської діяльності та ведення бухгалтерського обліку, у тому числі нормативно-правові акти Національного банку, національні положення (стандарти) бухгалтерського обліку в державному секторі, нормативно-правові акти Мінфіну щодо порядку ведення бухгалтерського обліку, складання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(стандартів) бухгалтерського обліку в державному секторі, порядок оформлення операцій і організації документообігу за розділами обліку, форми та порядок проведення розрахунків, порядок приймання, передачі товарно-матеріальних та інших цінностей, правила проведення та оформлення результатів інвентаризації активів і зобов’язань;</w:t>
            </w:r>
          </w:p>
          <w:p w:rsidR="004527FA" w:rsidRPr="00BD7B6D" w:rsidRDefault="004527FA" w:rsidP="002C2E8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ind w:left="0" w:firstLine="29"/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постанова Кабінету Міністрів України від 19.10.2016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</w:t>
            </w:r>
          </w:p>
        </w:tc>
      </w:tr>
      <w:tr w:rsidR="004527FA" w:rsidRPr="00BD7B6D" w:rsidTr="00194210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2.4</w:t>
            </w:r>
          </w:p>
        </w:tc>
        <w:tc>
          <w:tcPr>
            <w:tcW w:w="3582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Професійні знання (</w:t>
            </w:r>
            <w:r w:rsidRPr="00BD7B6D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273" w:type="dxa"/>
            <w:shd w:val="clear" w:color="auto" w:fill="auto"/>
          </w:tcPr>
          <w:p w:rsidR="00A20DA0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- </w:t>
            </w:r>
            <w:r w:rsidR="00A20DA0">
              <w:rPr>
                <w:lang w:val="uk-UA"/>
              </w:rPr>
              <w:t>знання бухгалтерського обліку в державному секторі;</w:t>
            </w:r>
          </w:p>
          <w:p w:rsidR="004527FA" w:rsidRPr="00BD7B6D" w:rsidRDefault="00A20DA0" w:rsidP="004527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527FA" w:rsidRPr="00BD7B6D">
              <w:rPr>
                <w:lang w:val="uk-UA"/>
              </w:rPr>
              <w:t>організація та планування роботи;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систематизація інформації</w:t>
            </w:r>
            <w:r w:rsidR="009473F8">
              <w:rPr>
                <w:lang w:val="uk-UA"/>
              </w:rPr>
              <w:t xml:space="preserve"> та аналітичне мислення</w:t>
            </w:r>
            <w:r w:rsidRPr="00BD7B6D">
              <w:rPr>
                <w:lang w:val="uk-UA"/>
              </w:rPr>
              <w:t>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практичне застосування нормативно-правових актів;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lastRenderedPageBreak/>
              <w:t>- порядок роботи із службовою інформацією;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основи загального діловодства та архівної справи;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основи бухгалтерського діловодства та архівної справи</w:t>
            </w:r>
          </w:p>
        </w:tc>
      </w:tr>
      <w:tr w:rsidR="009473F8" w:rsidRPr="00BD7B6D" w:rsidTr="00194210">
        <w:tc>
          <w:tcPr>
            <w:tcW w:w="666" w:type="dxa"/>
            <w:shd w:val="clear" w:color="auto" w:fill="auto"/>
          </w:tcPr>
          <w:p w:rsidR="009473F8" w:rsidRPr="00BD7B6D" w:rsidRDefault="009473F8" w:rsidP="009473F8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582" w:type="dxa"/>
            <w:shd w:val="clear" w:color="auto" w:fill="auto"/>
          </w:tcPr>
          <w:p w:rsidR="009473F8" w:rsidRPr="00BD7B6D" w:rsidRDefault="009473F8" w:rsidP="009473F8">
            <w:pPr>
              <w:rPr>
                <w:lang w:val="uk-UA"/>
              </w:rPr>
            </w:pPr>
            <w:r w:rsidRPr="00BD7B6D">
              <w:rPr>
                <w:lang w:val="uk-UA"/>
              </w:rPr>
              <w:t>Лідерство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473F8" w:rsidRPr="0014710A" w:rsidRDefault="0014710A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вміння організовувати та планувати роботу;</w:t>
            </w:r>
          </w:p>
          <w:p w:rsidR="009473F8" w:rsidRPr="0014710A" w:rsidRDefault="0014710A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вміння обґрунтовувати власну позицію;</w:t>
            </w:r>
          </w:p>
          <w:p w:rsidR="009473F8" w:rsidRPr="0014710A" w:rsidRDefault="0014710A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вміння брати на себе відповідальність;</w:t>
            </w:r>
          </w:p>
          <w:p w:rsidR="009473F8" w:rsidRPr="0014710A" w:rsidRDefault="0014710A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неупередженість та об’єктивність</w:t>
            </w:r>
          </w:p>
        </w:tc>
      </w:tr>
      <w:tr w:rsidR="009473F8" w:rsidRPr="00EB59FB" w:rsidTr="00194210">
        <w:tc>
          <w:tcPr>
            <w:tcW w:w="666" w:type="dxa"/>
            <w:shd w:val="clear" w:color="auto" w:fill="auto"/>
          </w:tcPr>
          <w:p w:rsidR="009473F8" w:rsidRPr="00BD7B6D" w:rsidRDefault="009473F8" w:rsidP="009473F8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2.6</w:t>
            </w:r>
          </w:p>
        </w:tc>
        <w:tc>
          <w:tcPr>
            <w:tcW w:w="3582" w:type="dxa"/>
            <w:shd w:val="clear" w:color="auto" w:fill="auto"/>
          </w:tcPr>
          <w:p w:rsidR="009473F8" w:rsidRPr="00BD7B6D" w:rsidRDefault="009473F8" w:rsidP="009473F8">
            <w:pPr>
              <w:rPr>
                <w:lang w:val="uk-UA"/>
              </w:rPr>
            </w:pPr>
            <w:r w:rsidRPr="00BD7B6D">
              <w:rPr>
                <w:lang w:val="uk-UA"/>
              </w:rPr>
              <w:t>Прийняття ефективних рішень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473F8" w:rsidRPr="0014710A" w:rsidRDefault="0014710A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 xml:space="preserve">вміння працювати з великими масивами інформації; </w:t>
            </w:r>
          </w:p>
          <w:p w:rsidR="009473F8" w:rsidRPr="0014710A" w:rsidRDefault="0014710A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 xml:space="preserve">вміння працювати при </w:t>
            </w:r>
            <w:proofErr w:type="spellStart"/>
            <w:r w:rsidR="009473F8" w:rsidRPr="0014710A">
              <w:rPr>
                <w:rFonts w:eastAsia="Calibri"/>
                <w:lang w:val="uk-UA"/>
              </w:rPr>
              <w:t>багатозадачності</w:t>
            </w:r>
            <w:proofErr w:type="spellEnd"/>
            <w:r w:rsidR="009473F8" w:rsidRPr="0014710A">
              <w:rPr>
                <w:rFonts w:eastAsia="Calibri"/>
                <w:lang w:val="uk-UA"/>
              </w:rPr>
              <w:t>;</w:t>
            </w:r>
          </w:p>
          <w:p w:rsidR="009473F8" w:rsidRPr="0014710A" w:rsidRDefault="0014710A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вміння встановлювати цілі, пріоритети та орієнтири;</w:t>
            </w:r>
          </w:p>
          <w:p w:rsidR="009473F8" w:rsidRPr="0014710A" w:rsidRDefault="00EB59FB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аналіз і прогнозування наслідків рішень, що приймаються;</w:t>
            </w:r>
          </w:p>
        </w:tc>
      </w:tr>
      <w:tr w:rsidR="009473F8" w:rsidRPr="00EB59FB" w:rsidTr="00194210">
        <w:tc>
          <w:tcPr>
            <w:tcW w:w="666" w:type="dxa"/>
            <w:shd w:val="clear" w:color="auto" w:fill="auto"/>
          </w:tcPr>
          <w:p w:rsidR="009473F8" w:rsidRPr="00BD7B6D" w:rsidRDefault="009473F8" w:rsidP="009473F8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2.7</w:t>
            </w:r>
          </w:p>
        </w:tc>
        <w:tc>
          <w:tcPr>
            <w:tcW w:w="3582" w:type="dxa"/>
            <w:shd w:val="clear" w:color="auto" w:fill="auto"/>
          </w:tcPr>
          <w:p w:rsidR="009473F8" w:rsidRPr="00BD7B6D" w:rsidRDefault="009473F8" w:rsidP="009473F8">
            <w:pPr>
              <w:rPr>
                <w:lang w:val="uk-UA"/>
              </w:rPr>
            </w:pPr>
            <w:r w:rsidRPr="00BD7B6D">
              <w:rPr>
                <w:lang w:val="uk-UA"/>
              </w:rPr>
              <w:t>Комунікації та взаємодія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473F8" w:rsidRPr="0014710A" w:rsidRDefault="00EB59FB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вміння ефективної комунікації;</w:t>
            </w:r>
          </w:p>
          <w:p w:rsidR="009473F8" w:rsidRPr="0014710A" w:rsidRDefault="00EB59FB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незалежність та ініціативність;</w:t>
            </w:r>
          </w:p>
        </w:tc>
      </w:tr>
      <w:tr w:rsidR="009473F8" w:rsidRPr="00EB59FB" w:rsidTr="00194210">
        <w:tc>
          <w:tcPr>
            <w:tcW w:w="666" w:type="dxa"/>
            <w:shd w:val="clear" w:color="auto" w:fill="auto"/>
          </w:tcPr>
          <w:p w:rsidR="009473F8" w:rsidRPr="00BD7B6D" w:rsidRDefault="009473F8" w:rsidP="009473F8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2.8</w:t>
            </w:r>
          </w:p>
        </w:tc>
        <w:tc>
          <w:tcPr>
            <w:tcW w:w="3582" w:type="dxa"/>
            <w:shd w:val="clear" w:color="auto" w:fill="auto"/>
          </w:tcPr>
          <w:p w:rsidR="009473F8" w:rsidRPr="00BD7B6D" w:rsidRDefault="009473F8" w:rsidP="009473F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473F8" w:rsidRPr="0014710A" w:rsidRDefault="00EB59FB" w:rsidP="0014710A">
            <w:pPr>
              <w:jc w:val="both"/>
              <w:rPr>
                <w:rFonts w:eastAsia="Calibri"/>
                <w:lang w:val="uk-UA"/>
              </w:rPr>
            </w:pPr>
            <w:bookmarkStart w:id="2" w:name="n98"/>
            <w:bookmarkEnd w:id="2"/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організація та планування роботи;</w:t>
            </w:r>
          </w:p>
          <w:p w:rsidR="009473F8" w:rsidRPr="0014710A" w:rsidRDefault="00EB59FB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вміння працювати з інформацією;</w:t>
            </w:r>
          </w:p>
          <w:p w:rsidR="009473F8" w:rsidRPr="0014710A" w:rsidRDefault="00EB59FB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орієнтація на досягнення результатів;</w:t>
            </w:r>
          </w:p>
          <w:p w:rsidR="009473F8" w:rsidRPr="0014710A" w:rsidRDefault="00EB59FB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вміння ефективно використовувати ресурси;</w:t>
            </w:r>
          </w:p>
          <w:p w:rsidR="009473F8" w:rsidRPr="0014710A" w:rsidRDefault="00EB59FB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вміння виконувати комплексні завдання;</w:t>
            </w:r>
          </w:p>
          <w:p w:rsidR="009473F8" w:rsidRPr="0014710A" w:rsidRDefault="00EB59FB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відповідальність за доручену справу;</w:t>
            </w:r>
          </w:p>
        </w:tc>
      </w:tr>
      <w:tr w:rsidR="009473F8" w:rsidRPr="00BD7B6D" w:rsidTr="00194210">
        <w:tc>
          <w:tcPr>
            <w:tcW w:w="666" w:type="dxa"/>
            <w:shd w:val="clear" w:color="auto" w:fill="auto"/>
          </w:tcPr>
          <w:p w:rsidR="009473F8" w:rsidRPr="00BD7B6D" w:rsidRDefault="009473F8" w:rsidP="009473F8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2.9</w:t>
            </w:r>
          </w:p>
        </w:tc>
        <w:tc>
          <w:tcPr>
            <w:tcW w:w="3582" w:type="dxa"/>
            <w:shd w:val="clear" w:color="auto" w:fill="auto"/>
          </w:tcPr>
          <w:p w:rsidR="009473F8" w:rsidRPr="00BD7B6D" w:rsidRDefault="009473F8" w:rsidP="009473F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473F8" w:rsidRPr="0014710A" w:rsidRDefault="00EB59FB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вміння працювати в команді;</w:t>
            </w:r>
          </w:p>
          <w:p w:rsidR="009473F8" w:rsidRPr="0014710A" w:rsidRDefault="00EB59FB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ефективна комунікація;</w:t>
            </w:r>
          </w:p>
          <w:p w:rsidR="009473F8" w:rsidRPr="0014710A" w:rsidRDefault="00EB59FB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вміння надавати зворотній зв’язок;</w:t>
            </w:r>
          </w:p>
        </w:tc>
      </w:tr>
      <w:tr w:rsidR="009473F8" w:rsidRPr="00BD7B6D" w:rsidTr="00194210">
        <w:tc>
          <w:tcPr>
            <w:tcW w:w="666" w:type="dxa"/>
            <w:shd w:val="clear" w:color="auto" w:fill="auto"/>
          </w:tcPr>
          <w:p w:rsidR="009473F8" w:rsidRPr="00BD7B6D" w:rsidRDefault="009473F8" w:rsidP="009473F8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582" w:type="dxa"/>
            <w:shd w:val="clear" w:color="auto" w:fill="auto"/>
          </w:tcPr>
          <w:p w:rsidR="009473F8" w:rsidRPr="00BD7B6D" w:rsidRDefault="009473F8" w:rsidP="009473F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Сприйняття змін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9473F8" w:rsidRPr="0014710A" w:rsidRDefault="00EB59FB" w:rsidP="0014710A">
            <w:pPr>
              <w:jc w:val="both"/>
              <w:rPr>
                <w:rFonts w:eastAsia="Calibri"/>
                <w:lang w:val="uk-UA"/>
              </w:rPr>
            </w:pPr>
            <w:bookmarkStart w:id="3" w:name="n105"/>
            <w:bookmarkEnd w:id="3"/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адаптація до змін та прийняття нових підходів у вирішенні поставлених завдань;</w:t>
            </w:r>
          </w:p>
          <w:p w:rsidR="009473F8" w:rsidRPr="0014710A" w:rsidRDefault="00EB59FB" w:rsidP="0014710A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="009473F8" w:rsidRPr="0014710A">
              <w:rPr>
                <w:rFonts w:eastAsia="Calibri"/>
                <w:lang w:val="uk-UA"/>
              </w:rPr>
              <w:t>стійкість до стресу;</w:t>
            </w:r>
          </w:p>
        </w:tc>
      </w:tr>
      <w:tr w:rsidR="009473F8" w:rsidRPr="00BD7B6D" w:rsidTr="00194210">
        <w:tc>
          <w:tcPr>
            <w:tcW w:w="666" w:type="dxa"/>
            <w:shd w:val="clear" w:color="auto" w:fill="auto"/>
          </w:tcPr>
          <w:p w:rsidR="009473F8" w:rsidRPr="00BD7B6D" w:rsidRDefault="009473F8" w:rsidP="009473F8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582" w:type="dxa"/>
            <w:shd w:val="clear" w:color="auto" w:fill="auto"/>
          </w:tcPr>
          <w:p w:rsidR="009473F8" w:rsidRPr="00BD7B6D" w:rsidRDefault="009473F8" w:rsidP="009473F8">
            <w:pPr>
              <w:rPr>
                <w:lang w:val="uk-UA"/>
              </w:rPr>
            </w:pPr>
            <w:r w:rsidRPr="00BD7B6D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273" w:type="dxa"/>
            <w:shd w:val="clear" w:color="auto" w:fill="auto"/>
          </w:tcPr>
          <w:p w:rsidR="009473F8" w:rsidRDefault="009473F8" w:rsidP="009473F8">
            <w:pPr>
              <w:jc w:val="both"/>
              <w:rPr>
                <w:rFonts w:eastAsia="Calibri"/>
                <w:lang w:val="uk-UA"/>
              </w:rPr>
            </w:pPr>
            <w:r w:rsidRPr="00BD7B6D">
              <w:rPr>
                <w:rFonts w:eastAsia="Calibri"/>
                <w:lang w:val="uk-UA"/>
              </w:rPr>
              <w:t>- вміння використовувати комп’ютерну</w:t>
            </w:r>
            <w:r>
              <w:rPr>
                <w:rFonts w:eastAsia="Calibri"/>
                <w:lang w:val="uk-UA"/>
              </w:rPr>
              <w:t>,</w:t>
            </w:r>
            <w:r w:rsidRPr="00BD7B6D">
              <w:rPr>
                <w:rFonts w:eastAsia="Calibri"/>
                <w:lang w:val="uk-UA"/>
              </w:rPr>
              <w:t xml:space="preserve">  офісну техніку</w:t>
            </w:r>
            <w:r>
              <w:rPr>
                <w:rFonts w:eastAsia="Calibri"/>
                <w:lang w:val="uk-UA"/>
              </w:rPr>
              <w:t xml:space="preserve"> та програмне забезпечення;</w:t>
            </w:r>
          </w:p>
          <w:p w:rsidR="009473F8" w:rsidRPr="00BD7B6D" w:rsidRDefault="009473F8" w:rsidP="00EB59FB">
            <w:pPr>
              <w:rPr>
                <w:sz w:val="16"/>
                <w:szCs w:val="16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Pr="00D33EEE">
              <w:rPr>
                <w:rFonts w:eastAsia="Calibri"/>
                <w:lang w:val="uk-UA"/>
              </w:rPr>
              <w:t xml:space="preserve">досвід користування </w:t>
            </w:r>
            <w:r>
              <w:rPr>
                <w:rFonts w:eastAsia="Calibri"/>
                <w:lang w:val="uk-UA"/>
              </w:rPr>
              <w:t>програмним забезпечення</w:t>
            </w:r>
            <w:r w:rsidR="00EB59FB">
              <w:rPr>
                <w:rFonts w:eastAsia="Calibri"/>
                <w:lang w:val="uk-UA"/>
              </w:rPr>
              <w:t>м</w:t>
            </w:r>
            <w:r>
              <w:rPr>
                <w:rFonts w:eastAsia="Calibri"/>
                <w:lang w:val="uk-UA"/>
              </w:rPr>
              <w:t xml:space="preserve"> </w:t>
            </w:r>
            <w:r w:rsidRPr="008003E7">
              <w:rPr>
                <w:rFonts w:eastAsia="Calibri"/>
                <w:lang w:val="uk-UA"/>
              </w:rPr>
              <w:t>«ІС-ПРО»,</w:t>
            </w:r>
            <w:r>
              <w:rPr>
                <w:rFonts w:eastAsia="Calibri"/>
                <w:lang w:val="uk-UA"/>
              </w:rPr>
              <w:t xml:space="preserve"> </w:t>
            </w:r>
            <w:r w:rsidRPr="00D33EEE">
              <w:rPr>
                <w:rFonts w:eastAsia="Calibri"/>
                <w:lang w:val="uk-UA"/>
              </w:rPr>
              <w:t>ERP</w:t>
            </w:r>
            <w:r>
              <w:rPr>
                <w:rFonts w:eastAsia="Calibri"/>
                <w:lang w:val="uk-UA"/>
              </w:rPr>
              <w:t>,</w:t>
            </w:r>
            <w:r w:rsidRPr="00D33EEE">
              <w:rPr>
                <w:rFonts w:eastAsia="Calibri"/>
                <w:lang w:val="uk-UA"/>
              </w:rPr>
              <w:t xml:space="preserve"> електронного документообігу АСКОД (або аналогічного)</w:t>
            </w:r>
          </w:p>
        </w:tc>
      </w:tr>
      <w:tr w:rsidR="00EB59FB" w:rsidRPr="00BD7B6D" w:rsidTr="00194210">
        <w:tc>
          <w:tcPr>
            <w:tcW w:w="666" w:type="dxa"/>
            <w:shd w:val="clear" w:color="auto" w:fill="auto"/>
          </w:tcPr>
          <w:p w:rsidR="00EB59FB" w:rsidRPr="00BD7B6D" w:rsidRDefault="00EB59FB" w:rsidP="00EB59FB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582" w:type="dxa"/>
            <w:shd w:val="clear" w:color="auto" w:fill="auto"/>
          </w:tcPr>
          <w:p w:rsidR="00EB59FB" w:rsidRPr="00BD7B6D" w:rsidDel="00E7634A" w:rsidRDefault="00EB59FB" w:rsidP="00EB59FB">
            <w:pPr>
              <w:rPr>
                <w:lang w:val="uk-UA"/>
              </w:rPr>
            </w:pPr>
            <w:r w:rsidRPr="00BD7B6D">
              <w:rPr>
                <w:lang w:val="uk-UA"/>
              </w:rPr>
              <w:t>Особистісні компетенції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EB59FB" w:rsidRPr="00EB59FB" w:rsidRDefault="00EB59FB" w:rsidP="00EB59FB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Pr="00EB59FB">
              <w:rPr>
                <w:rFonts w:eastAsia="Calibri"/>
                <w:lang w:val="uk-UA"/>
              </w:rPr>
              <w:t>відповідальність;</w:t>
            </w:r>
          </w:p>
          <w:p w:rsidR="00EB59FB" w:rsidRPr="00EB59FB" w:rsidRDefault="00EB59FB" w:rsidP="00EB59FB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Pr="00EB59FB">
              <w:rPr>
                <w:rFonts w:eastAsia="Calibri"/>
                <w:lang w:val="uk-UA"/>
              </w:rPr>
              <w:t>системність і самостійність у роботі;</w:t>
            </w:r>
          </w:p>
          <w:p w:rsidR="00EB59FB" w:rsidRPr="00EB59FB" w:rsidRDefault="00EB59FB" w:rsidP="00EB59FB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proofErr w:type="spellStart"/>
            <w:r w:rsidRPr="00EB59FB">
              <w:rPr>
                <w:rFonts w:eastAsia="Calibri"/>
                <w:lang w:val="uk-UA"/>
              </w:rPr>
              <w:t>самоорганізованість</w:t>
            </w:r>
            <w:proofErr w:type="spellEnd"/>
            <w:r w:rsidRPr="00EB59FB">
              <w:rPr>
                <w:rFonts w:eastAsia="Calibri"/>
                <w:lang w:val="uk-UA"/>
              </w:rPr>
              <w:t>;</w:t>
            </w:r>
          </w:p>
          <w:p w:rsidR="00EB59FB" w:rsidRPr="00EB59FB" w:rsidRDefault="00EB59FB" w:rsidP="00EB59FB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Pr="00EB59FB">
              <w:rPr>
                <w:rFonts w:eastAsia="Calibri"/>
                <w:lang w:val="uk-UA"/>
              </w:rPr>
              <w:t>уважність до деталей;</w:t>
            </w:r>
          </w:p>
          <w:p w:rsidR="00EB59FB" w:rsidRPr="00EB59FB" w:rsidRDefault="00EB59FB" w:rsidP="00EB59FB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Pr="00EB59FB">
              <w:rPr>
                <w:rFonts w:eastAsia="Calibri"/>
                <w:lang w:val="uk-UA"/>
              </w:rPr>
              <w:t>ініціативність;</w:t>
            </w:r>
          </w:p>
          <w:p w:rsidR="00EB59FB" w:rsidRPr="00EB59FB" w:rsidRDefault="00EB59FB" w:rsidP="00EB59FB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Pr="00EB59FB">
              <w:rPr>
                <w:rFonts w:eastAsia="Calibri"/>
                <w:lang w:val="uk-UA"/>
              </w:rPr>
              <w:t>орієнтація на саморозвиток;</w:t>
            </w:r>
          </w:p>
          <w:p w:rsidR="00EB59FB" w:rsidRPr="00EB59FB" w:rsidRDefault="00EB59FB" w:rsidP="00EB59FB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Pr="00EB59FB">
              <w:rPr>
                <w:rFonts w:eastAsia="Calibri"/>
                <w:lang w:val="uk-UA"/>
              </w:rPr>
              <w:t>непричетність до корупційних скандалів;</w:t>
            </w:r>
          </w:p>
          <w:p w:rsidR="00EB59FB" w:rsidRPr="00EB59FB" w:rsidRDefault="00EB59FB" w:rsidP="00EB59FB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</w:t>
            </w:r>
            <w:r w:rsidRPr="00EB59FB">
              <w:rPr>
                <w:rFonts w:eastAsia="Calibri"/>
                <w:lang w:val="uk-UA"/>
              </w:rPr>
              <w:t>вміння працювати у стресових ситуаціях</w:t>
            </w:r>
          </w:p>
        </w:tc>
      </w:tr>
      <w:tr w:rsidR="00EB59FB" w:rsidRPr="00BD7B6D" w:rsidTr="008003E7">
        <w:trPr>
          <w:trHeight w:val="525"/>
        </w:trPr>
        <w:tc>
          <w:tcPr>
            <w:tcW w:w="666" w:type="dxa"/>
            <w:shd w:val="clear" w:color="auto" w:fill="auto"/>
            <w:vAlign w:val="center"/>
          </w:tcPr>
          <w:p w:rsidR="00EB59FB" w:rsidRPr="00BD7B6D" w:rsidRDefault="00EB59FB" w:rsidP="00EB59FB">
            <w:pPr>
              <w:jc w:val="center"/>
              <w:rPr>
                <w:caps/>
                <w:lang w:val="uk-UA"/>
              </w:rPr>
            </w:pPr>
            <w:r w:rsidRPr="00BD7B6D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EB59FB" w:rsidRPr="00BD7B6D" w:rsidRDefault="00EB59FB" w:rsidP="00EB59FB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t>ІНШІ ВІДОМОСТІ</w:t>
            </w:r>
          </w:p>
        </w:tc>
      </w:tr>
      <w:tr w:rsidR="00EB59FB" w:rsidRPr="00BD7B6D" w:rsidTr="00194210">
        <w:tc>
          <w:tcPr>
            <w:tcW w:w="666" w:type="dxa"/>
            <w:shd w:val="clear" w:color="auto" w:fill="auto"/>
          </w:tcPr>
          <w:p w:rsidR="00EB59FB" w:rsidRPr="00B77629" w:rsidRDefault="00EB59FB" w:rsidP="00EB5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582" w:type="dxa"/>
            <w:shd w:val="clear" w:color="auto" w:fill="auto"/>
          </w:tcPr>
          <w:p w:rsidR="00EB59FB" w:rsidRPr="00BD7B6D" w:rsidRDefault="00EB59FB" w:rsidP="00EB59FB">
            <w:pPr>
              <w:rPr>
                <w:lang w:val="uk-UA"/>
              </w:rPr>
            </w:pPr>
            <w:r w:rsidRPr="00BD7B6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273" w:type="dxa"/>
            <w:shd w:val="clear" w:color="auto" w:fill="auto"/>
          </w:tcPr>
          <w:p w:rsidR="00EB59FB" w:rsidRPr="00BD7B6D" w:rsidRDefault="00EB59FB" w:rsidP="00EB59FB">
            <w:pPr>
              <w:jc w:val="both"/>
              <w:rPr>
                <w:lang w:val="uk-UA"/>
              </w:rPr>
            </w:pPr>
            <w:r w:rsidRPr="00BD7B6D">
              <w:rPr>
                <w:rFonts w:eastAsia="Calibri"/>
                <w:lang w:val="uk-UA"/>
              </w:rPr>
              <w:t>Тестування</w:t>
            </w:r>
            <w:r w:rsidRPr="00BD7B6D">
              <w:rPr>
                <w:lang w:val="uk-UA"/>
              </w:rPr>
              <w:t xml:space="preserve"> на знання законодавства </w:t>
            </w:r>
            <w:r w:rsidRPr="00BD7B6D">
              <w:rPr>
                <w:lang w:val="uk-UA"/>
              </w:rPr>
              <w:br/>
              <w:t>1-го рівня (</w:t>
            </w:r>
            <w:hyperlink r:id="rId6" w:history="1">
              <w:r w:rsidRPr="00BD7B6D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 w:rsidRPr="00BD7B6D">
              <w:rPr>
                <w:lang w:val="uk-UA"/>
              </w:rPr>
              <w:t>)</w:t>
            </w:r>
          </w:p>
        </w:tc>
      </w:tr>
      <w:tr w:rsidR="00EB59FB" w:rsidRPr="00BD7B6D" w:rsidTr="00194210">
        <w:tc>
          <w:tcPr>
            <w:tcW w:w="666" w:type="dxa"/>
            <w:shd w:val="clear" w:color="auto" w:fill="auto"/>
          </w:tcPr>
          <w:p w:rsidR="00EB59FB" w:rsidRPr="00B77629" w:rsidRDefault="00EB59FB" w:rsidP="00EB5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582" w:type="dxa"/>
            <w:shd w:val="clear" w:color="auto" w:fill="auto"/>
          </w:tcPr>
          <w:p w:rsidR="00EB59FB" w:rsidRPr="00BD7B6D" w:rsidRDefault="00EB59FB" w:rsidP="00EB59FB">
            <w:pPr>
              <w:rPr>
                <w:lang w:val="uk-UA"/>
              </w:rPr>
            </w:pPr>
            <w:r w:rsidRPr="00BD7B6D">
              <w:rPr>
                <w:lang w:val="uk-UA"/>
              </w:rPr>
              <w:t>Перелік документів:</w:t>
            </w:r>
          </w:p>
        </w:tc>
        <w:tc>
          <w:tcPr>
            <w:tcW w:w="5273" w:type="dxa"/>
            <w:shd w:val="clear" w:color="auto" w:fill="auto"/>
          </w:tcPr>
          <w:p w:rsidR="00EB59FB" w:rsidRPr="00EB59FB" w:rsidRDefault="00EB59FB" w:rsidP="00EB59FB">
            <w:pPr>
              <w:pStyle w:val="a5"/>
              <w:numPr>
                <w:ilvl w:val="0"/>
                <w:numId w:val="12"/>
              </w:numPr>
              <w:ind w:left="411"/>
              <w:jc w:val="both"/>
              <w:rPr>
                <w:rFonts w:eastAsia="Calibri"/>
                <w:lang w:val="uk-UA"/>
              </w:rPr>
            </w:pPr>
            <w:r w:rsidRPr="00EB59FB">
              <w:rPr>
                <w:rFonts w:eastAsia="Calibri"/>
                <w:lang w:val="uk-UA"/>
              </w:rPr>
              <w:t xml:space="preserve">заява, підписана електронним підписом,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 </w:t>
            </w:r>
          </w:p>
          <w:p w:rsidR="00EB59FB" w:rsidRPr="00EB59FB" w:rsidRDefault="00EB59FB" w:rsidP="00EB59FB">
            <w:pPr>
              <w:pStyle w:val="a5"/>
              <w:numPr>
                <w:ilvl w:val="0"/>
                <w:numId w:val="12"/>
              </w:numPr>
              <w:ind w:left="411"/>
              <w:jc w:val="both"/>
              <w:rPr>
                <w:rFonts w:eastAsia="Calibri"/>
                <w:lang w:val="uk-UA"/>
              </w:rPr>
            </w:pPr>
            <w:r w:rsidRPr="00EB59FB">
              <w:rPr>
                <w:rFonts w:eastAsia="Calibri"/>
                <w:lang w:val="uk-UA"/>
              </w:rPr>
              <w:lastRenderedPageBreak/>
              <w:t>анкета кандидата на посаду до Національного антикорупційного бюро України із заповненням всіх визначених полів анкети;</w:t>
            </w:r>
          </w:p>
          <w:p w:rsidR="00EB59FB" w:rsidRPr="00EB59FB" w:rsidRDefault="00EB59FB" w:rsidP="00EB59FB">
            <w:pPr>
              <w:pStyle w:val="a5"/>
              <w:numPr>
                <w:ilvl w:val="0"/>
                <w:numId w:val="12"/>
              </w:numPr>
              <w:ind w:left="411"/>
              <w:jc w:val="both"/>
              <w:rPr>
                <w:rFonts w:eastAsia="Calibri"/>
                <w:lang w:val="uk-UA"/>
              </w:rPr>
            </w:pPr>
            <w:r w:rsidRPr="00EB59FB">
              <w:rPr>
                <w:rFonts w:eastAsia="Calibri"/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EB59FB" w:rsidRPr="00EB59FB" w:rsidRDefault="00EB59FB" w:rsidP="00EB59FB">
            <w:pPr>
              <w:pStyle w:val="a5"/>
              <w:numPr>
                <w:ilvl w:val="0"/>
                <w:numId w:val="12"/>
              </w:numPr>
              <w:ind w:left="411"/>
              <w:jc w:val="both"/>
              <w:rPr>
                <w:rFonts w:eastAsia="Calibri"/>
                <w:lang w:val="uk-UA"/>
              </w:rPr>
            </w:pPr>
            <w:r w:rsidRPr="00EB59FB">
              <w:rPr>
                <w:rFonts w:eastAsia="Calibri"/>
                <w:lang w:val="uk-UA"/>
              </w:rPr>
              <w:t>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посаду;</w:t>
            </w:r>
          </w:p>
          <w:p w:rsidR="00EB59FB" w:rsidRPr="00EB59FB" w:rsidRDefault="00EB59FB" w:rsidP="00EB59FB">
            <w:pPr>
              <w:pStyle w:val="a5"/>
              <w:numPr>
                <w:ilvl w:val="0"/>
                <w:numId w:val="12"/>
              </w:numPr>
              <w:ind w:left="411"/>
              <w:jc w:val="both"/>
              <w:rPr>
                <w:rFonts w:eastAsia="Calibri"/>
                <w:lang w:val="uk-UA"/>
              </w:rPr>
            </w:pPr>
            <w:r w:rsidRPr="00EB59FB">
              <w:rPr>
                <w:rFonts w:eastAsia="Calibri"/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EB59FB" w:rsidRPr="00EB59FB" w:rsidRDefault="00EB59FB" w:rsidP="00EB59FB">
            <w:pPr>
              <w:jc w:val="both"/>
              <w:rPr>
                <w:rFonts w:eastAsia="Calibri"/>
                <w:lang w:val="uk-UA"/>
              </w:rPr>
            </w:pPr>
          </w:p>
          <w:p w:rsidR="00EB59FB" w:rsidRPr="00EB59FB" w:rsidRDefault="00EB59FB" w:rsidP="00194210">
            <w:pPr>
              <w:ind w:firstLine="411"/>
              <w:jc w:val="both"/>
              <w:rPr>
                <w:rFonts w:eastAsia="Calibri"/>
                <w:lang w:val="uk-UA"/>
              </w:rPr>
            </w:pPr>
            <w:r w:rsidRPr="00EB59FB">
              <w:rPr>
                <w:rFonts w:eastAsia="Calibri"/>
                <w:lang w:val="uk-UA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EB59FB">
              <w:rPr>
                <w:rFonts w:eastAsia="Calibri"/>
                <w:lang w:val="uk-UA"/>
              </w:rPr>
              <w:t>зворотню</w:t>
            </w:r>
            <w:proofErr w:type="spellEnd"/>
            <w:r w:rsidRPr="00EB59FB">
              <w:rPr>
                <w:rFonts w:eastAsia="Calibri"/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EB59FB" w:rsidRPr="00EB59FB" w:rsidRDefault="00EB59FB" w:rsidP="00194210">
            <w:pPr>
              <w:ind w:firstLine="411"/>
              <w:jc w:val="both"/>
              <w:rPr>
                <w:rFonts w:eastAsia="Calibri"/>
                <w:lang w:val="uk-UA"/>
              </w:rPr>
            </w:pPr>
            <w:r w:rsidRPr="00EB59FB">
              <w:rPr>
                <w:rFonts w:eastAsia="Calibri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</w:t>
            </w:r>
            <w:r w:rsidR="00194210">
              <w:rPr>
                <w:rFonts w:eastAsia="Calibri"/>
                <w:lang w:val="uk-UA"/>
              </w:rPr>
              <w:t xml:space="preserve"> підписується КЕП у СЕД "АСКОД".</w:t>
            </w:r>
          </w:p>
          <w:p w:rsidR="00194210" w:rsidRPr="00013E84" w:rsidRDefault="00194210" w:rsidP="00194210">
            <w:pPr>
              <w:spacing w:after="23"/>
              <w:ind w:left="11" w:firstLine="359"/>
              <w:jc w:val="both"/>
            </w:pPr>
            <w:proofErr w:type="spellStart"/>
            <w:r w:rsidRPr="00013E84">
              <w:t>Зразки</w:t>
            </w:r>
            <w:proofErr w:type="spellEnd"/>
            <w:r w:rsidRPr="00013E84">
              <w:t xml:space="preserve"> </w:t>
            </w:r>
            <w:proofErr w:type="spellStart"/>
            <w:r w:rsidRPr="00013E84">
              <w:t>заяв</w:t>
            </w:r>
            <w:proofErr w:type="spellEnd"/>
            <w:r w:rsidRPr="00013E84">
              <w:t xml:space="preserve"> </w:t>
            </w:r>
            <w:proofErr w:type="spellStart"/>
            <w:r w:rsidRPr="00013E84">
              <w:t>розміщені</w:t>
            </w:r>
            <w:proofErr w:type="spellEnd"/>
            <w:r w:rsidRPr="00013E84">
              <w:t xml:space="preserve"> на </w:t>
            </w:r>
            <w:proofErr w:type="spellStart"/>
            <w:r w:rsidRPr="00013E84">
              <w:t>офіційному</w:t>
            </w:r>
            <w:proofErr w:type="spellEnd"/>
            <w:r w:rsidRPr="00013E84">
              <w:t xml:space="preserve"> </w:t>
            </w:r>
            <w:proofErr w:type="spellStart"/>
            <w:r w:rsidRPr="00013E84">
              <w:t>вебсайті</w:t>
            </w:r>
            <w:proofErr w:type="spellEnd"/>
            <w:r w:rsidRPr="00013E84">
              <w:t xml:space="preserve"> </w:t>
            </w:r>
            <w:proofErr w:type="spellStart"/>
            <w:r w:rsidRPr="00013E84">
              <w:t>Національного</w:t>
            </w:r>
            <w:proofErr w:type="spellEnd"/>
            <w:r w:rsidRPr="00013E84">
              <w:t xml:space="preserve"> бюро (</w:t>
            </w:r>
            <w:hyperlink r:id="rId7" w:history="1">
              <w:r w:rsidRPr="00013E84">
                <w:rPr>
                  <w:rStyle w:val="a4"/>
                  <w:lang w:eastAsia="en-US"/>
                </w:rPr>
                <w:t>https://nabu.gov.ua/poryadok-provedennya-vidkrytogo-konkursu</w:t>
              </w:r>
            </w:hyperlink>
          </w:p>
          <w:p w:rsidR="00EB59FB" w:rsidRPr="00EB59FB" w:rsidRDefault="00194210" w:rsidP="00194210">
            <w:pPr>
              <w:jc w:val="both"/>
              <w:rPr>
                <w:rFonts w:eastAsia="Calibri"/>
                <w:lang w:val="uk-UA"/>
              </w:rPr>
            </w:pPr>
            <w:r w:rsidRPr="00013E84">
              <w:t xml:space="preserve">Порядок </w:t>
            </w:r>
            <w:proofErr w:type="spellStart"/>
            <w:r w:rsidRPr="00013E84">
              <w:t>проведення</w:t>
            </w:r>
            <w:proofErr w:type="spellEnd"/>
            <w:r w:rsidRPr="00013E84">
              <w:t xml:space="preserve"> </w:t>
            </w:r>
            <w:proofErr w:type="spellStart"/>
            <w:r w:rsidRPr="00013E84">
              <w:t>в</w:t>
            </w:r>
            <w:r>
              <w:t>ідкритого</w:t>
            </w:r>
            <w:proofErr w:type="spellEnd"/>
            <w:r>
              <w:t xml:space="preserve"> конкурсу, </w:t>
            </w:r>
            <w:proofErr w:type="spellStart"/>
            <w:r>
              <w:t>розділ</w:t>
            </w:r>
            <w:proofErr w:type="spellEnd"/>
            <w:r>
              <w:t xml:space="preserve"> ІІІ)</w:t>
            </w:r>
          </w:p>
        </w:tc>
      </w:tr>
      <w:tr w:rsidR="00EB59FB" w:rsidRPr="00BD7B6D" w:rsidTr="00194210">
        <w:tc>
          <w:tcPr>
            <w:tcW w:w="666" w:type="dxa"/>
            <w:shd w:val="clear" w:color="auto" w:fill="auto"/>
          </w:tcPr>
          <w:p w:rsidR="00EB59FB" w:rsidRPr="00B77629" w:rsidRDefault="00EB59FB" w:rsidP="00EB5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3582" w:type="dxa"/>
            <w:shd w:val="clear" w:color="auto" w:fill="auto"/>
          </w:tcPr>
          <w:p w:rsidR="00EB59FB" w:rsidRPr="00BD7B6D" w:rsidRDefault="00EB59FB" w:rsidP="00EB59FB">
            <w:pPr>
              <w:rPr>
                <w:lang w:val="uk-UA"/>
              </w:rPr>
            </w:pPr>
            <w:r w:rsidRPr="00BD7B6D">
              <w:rPr>
                <w:lang w:val="uk-UA"/>
              </w:rPr>
              <w:t>Термін подання документів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EB59FB" w:rsidRPr="00255C13" w:rsidRDefault="002C677F" w:rsidP="00D5551A">
            <w:pPr>
              <w:jc w:val="both"/>
              <w:rPr>
                <w:lang w:val="uk-UA"/>
              </w:rPr>
            </w:pPr>
            <w:proofErr w:type="spellStart"/>
            <w:r w:rsidRPr="002A4B7D">
              <w:rPr>
                <w:kern w:val="36"/>
              </w:rPr>
              <w:t>Протягом</w:t>
            </w:r>
            <w:proofErr w:type="spellEnd"/>
            <w:r w:rsidRPr="002A4B7D">
              <w:rPr>
                <w:kern w:val="36"/>
              </w:rPr>
              <w:t xml:space="preserve"> 20 </w:t>
            </w:r>
            <w:proofErr w:type="spellStart"/>
            <w:r w:rsidRPr="002A4B7D">
              <w:rPr>
                <w:kern w:val="36"/>
              </w:rPr>
              <w:t>календарних</w:t>
            </w:r>
            <w:proofErr w:type="spellEnd"/>
            <w:r w:rsidRPr="00013E84">
              <w:rPr>
                <w:kern w:val="36"/>
              </w:rPr>
              <w:t xml:space="preserve"> </w:t>
            </w:r>
            <w:proofErr w:type="spellStart"/>
            <w:r w:rsidRPr="00013E84">
              <w:rPr>
                <w:kern w:val="36"/>
              </w:rPr>
              <w:t>днів</w:t>
            </w:r>
            <w:proofErr w:type="spellEnd"/>
            <w:r w:rsidRPr="00013E84">
              <w:rPr>
                <w:kern w:val="36"/>
              </w:rPr>
              <w:t xml:space="preserve"> </w:t>
            </w:r>
          </w:p>
        </w:tc>
      </w:tr>
      <w:tr w:rsidR="00EB59FB" w:rsidRPr="00BD7B6D" w:rsidTr="00194210">
        <w:tc>
          <w:tcPr>
            <w:tcW w:w="666" w:type="dxa"/>
            <w:shd w:val="clear" w:color="auto" w:fill="auto"/>
          </w:tcPr>
          <w:p w:rsidR="00EB59FB" w:rsidRDefault="00EB59FB" w:rsidP="00EB5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582" w:type="dxa"/>
            <w:shd w:val="clear" w:color="auto" w:fill="auto"/>
          </w:tcPr>
          <w:p w:rsidR="00EB59FB" w:rsidRPr="00BD7B6D" w:rsidRDefault="00EB59FB" w:rsidP="00EB59FB">
            <w:pPr>
              <w:rPr>
                <w:lang w:val="uk-UA"/>
              </w:rPr>
            </w:pPr>
            <w:r w:rsidRPr="008C749A">
              <w:rPr>
                <w:lang w:val="uk-UA"/>
              </w:rPr>
              <w:t>Прийом документів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EB59FB" w:rsidRPr="00255C13" w:rsidRDefault="00194210" w:rsidP="00EB59FB">
            <w:pPr>
              <w:jc w:val="both"/>
              <w:rPr>
                <w:kern w:val="36"/>
                <w:lang w:val="uk-UA"/>
              </w:rPr>
            </w:pPr>
            <w:r w:rsidRPr="00013E84">
              <w:t xml:space="preserve">За </w:t>
            </w:r>
            <w:proofErr w:type="spellStart"/>
            <w:r w:rsidRPr="00013E84">
              <w:t>посиланням</w:t>
            </w:r>
            <w:proofErr w:type="spellEnd"/>
            <w:r w:rsidRPr="00013E84">
              <w:t xml:space="preserve"> на </w:t>
            </w:r>
            <w:proofErr w:type="spellStart"/>
            <w:r w:rsidRPr="00013E84">
              <w:t>вебсайті</w:t>
            </w:r>
            <w:proofErr w:type="spellEnd"/>
            <w:r w:rsidRPr="00013E84">
              <w:t xml:space="preserve"> </w:t>
            </w:r>
            <w:proofErr w:type="spellStart"/>
            <w:r w:rsidRPr="00013E84">
              <w:t>Національного</w:t>
            </w:r>
            <w:proofErr w:type="spellEnd"/>
            <w:r w:rsidRPr="00013E84">
              <w:t xml:space="preserve"> бюро </w:t>
            </w:r>
            <w:hyperlink r:id="rId8" w:history="1">
              <w:r w:rsidRPr="00013E84">
                <w:rPr>
                  <w:rStyle w:val="a4"/>
                </w:rPr>
                <w:t>https://nabu.gov.ua/robota-v-nabu/perelik-vakansiy/</w:t>
              </w:r>
            </w:hyperlink>
          </w:p>
        </w:tc>
      </w:tr>
      <w:tr w:rsidR="00EB59FB" w:rsidRPr="00F26EC9" w:rsidTr="00194210">
        <w:tc>
          <w:tcPr>
            <w:tcW w:w="666" w:type="dxa"/>
            <w:shd w:val="clear" w:color="auto" w:fill="auto"/>
          </w:tcPr>
          <w:p w:rsidR="00EB59FB" w:rsidRPr="0088737D" w:rsidRDefault="00EB59FB" w:rsidP="00EB5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582" w:type="dxa"/>
            <w:shd w:val="clear" w:color="auto" w:fill="auto"/>
          </w:tcPr>
          <w:p w:rsidR="00EB59FB" w:rsidRPr="00BD7B6D" w:rsidRDefault="00EB59FB" w:rsidP="00EB59FB">
            <w:pPr>
              <w:rPr>
                <w:lang w:val="uk-UA"/>
              </w:rPr>
            </w:pPr>
            <w:r w:rsidRPr="00BD7B6D">
              <w:rPr>
                <w:lang w:val="uk-UA"/>
              </w:rPr>
              <w:t>Контактні дані</w:t>
            </w:r>
          </w:p>
        </w:tc>
        <w:tc>
          <w:tcPr>
            <w:tcW w:w="5273" w:type="dxa"/>
            <w:shd w:val="clear" w:color="auto" w:fill="auto"/>
          </w:tcPr>
          <w:p w:rsidR="00EB59FB" w:rsidRPr="00255C13" w:rsidRDefault="00EB59FB" w:rsidP="00EB59FB">
            <w:pPr>
              <w:jc w:val="both"/>
              <w:rPr>
                <w:rStyle w:val="a4"/>
                <w:lang w:val="uk-UA"/>
              </w:rPr>
            </w:pPr>
            <w:r w:rsidRPr="00255C13">
              <w:rPr>
                <w:b/>
                <w:bCs/>
                <w:lang w:val="uk-UA"/>
              </w:rPr>
              <w:t>E-</w:t>
            </w:r>
            <w:proofErr w:type="spellStart"/>
            <w:r w:rsidRPr="00255C13">
              <w:rPr>
                <w:b/>
                <w:bCs/>
                <w:lang w:val="uk-UA"/>
              </w:rPr>
              <w:t>mail</w:t>
            </w:r>
            <w:proofErr w:type="spellEnd"/>
            <w:r w:rsidRPr="00255C13">
              <w:rPr>
                <w:b/>
                <w:bCs/>
                <w:lang w:val="uk-UA"/>
              </w:rPr>
              <w:t>:</w:t>
            </w:r>
            <w:r w:rsidRPr="00255C13">
              <w:rPr>
                <w:lang w:val="uk-UA"/>
              </w:rPr>
              <w:t> </w:t>
            </w:r>
            <w:hyperlink r:id="rId9" w:history="1">
              <w:r w:rsidRPr="00255C13">
                <w:rPr>
                  <w:rStyle w:val="a4"/>
                  <w:lang w:val="uk-UA"/>
                </w:rPr>
                <w:t>commission2@nabu.gov.ua</w:t>
              </w:r>
            </w:hyperlink>
          </w:p>
          <w:p w:rsidR="00EB59FB" w:rsidRPr="00255C13" w:rsidRDefault="00EB59FB" w:rsidP="00EB59FB">
            <w:pPr>
              <w:jc w:val="both"/>
              <w:rPr>
                <w:color w:val="000000" w:themeColor="text1"/>
                <w:sz w:val="28"/>
                <w:lang w:val="uk-UA"/>
              </w:rPr>
            </w:pPr>
            <w:r w:rsidRPr="00255C13">
              <w:rPr>
                <w:rStyle w:val="a4"/>
                <w:color w:val="000000" w:themeColor="text1"/>
                <w:lang w:val="uk-UA"/>
              </w:rPr>
              <w:t>(044) 246-30-03</w:t>
            </w:r>
          </w:p>
        </w:tc>
      </w:tr>
      <w:tr w:rsidR="00EB59FB" w:rsidRPr="00BD7B6D" w:rsidTr="00194210">
        <w:tc>
          <w:tcPr>
            <w:tcW w:w="666" w:type="dxa"/>
            <w:shd w:val="clear" w:color="auto" w:fill="auto"/>
          </w:tcPr>
          <w:p w:rsidR="00EB59FB" w:rsidRPr="0088737D" w:rsidRDefault="00EB59FB" w:rsidP="00EB5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582" w:type="dxa"/>
            <w:shd w:val="clear" w:color="auto" w:fill="auto"/>
          </w:tcPr>
          <w:p w:rsidR="00EB59FB" w:rsidRPr="00BD7B6D" w:rsidRDefault="00EB59FB" w:rsidP="00EB59FB">
            <w:pPr>
              <w:rPr>
                <w:lang w:val="uk-UA"/>
              </w:rPr>
            </w:pPr>
            <w:r w:rsidRPr="00BD7B6D">
              <w:rPr>
                <w:lang w:val="uk-UA"/>
              </w:rPr>
              <w:t>Умови оплати праці</w:t>
            </w:r>
          </w:p>
        </w:tc>
        <w:tc>
          <w:tcPr>
            <w:tcW w:w="5273" w:type="dxa"/>
            <w:shd w:val="clear" w:color="auto" w:fill="auto"/>
          </w:tcPr>
          <w:p w:rsidR="00EB59FB" w:rsidRPr="00BD7B6D" w:rsidRDefault="00EB59FB" w:rsidP="00EB59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Посадовий оклад: </w:t>
            </w:r>
            <w:r>
              <w:rPr>
                <w:lang w:val="uk-UA"/>
              </w:rPr>
              <w:t>40 680,00</w:t>
            </w:r>
            <w:r w:rsidRPr="00BD7B6D">
              <w:rPr>
                <w:lang w:val="uk-UA"/>
              </w:rPr>
              <w:t xml:space="preserve"> грн.</w:t>
            </w:r>
          </w:p>
          <w:p w:rsidR="00EB59FB" w:rsidRPr="00BD7B6D" w:rsidRDefault="00EB59FB" w:rsidP="00EB59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Доплати: відповідно до статті</w:t>
            </w:r>
            <w:r w:rsidRPr="00BD7B6D">
              <w:rPr>
                <w:lang w:val="uk-UA"/>
              </w:rPr>
              <w:t xml:space="preserve"> 23 Закону України </w:t>
            </w:r>
            <w:r>
              <w:rPr>
                <w:lang w:val="uk-UA"/>
              </w:rPr>
              <w:t>«</w:t>
            </w:r>
            <w:r w:rsidRPr="00BD7B6D">
              <w:rPr>
                <w:lang w:val="uk-UA"/>
              </w:rPr>
              <w:t xml:space="preserve">Про Національне антикорупційне бюро України» </w:t>
            </w:r>
          </w:p>
        </w:tc>
      </w:tr>
      <w:tr w:rsidR="00EB59FB" w:rsidRPr="00BD7B6D" w:rsidTr="00194210">
        <w:tc>
          <w:tcPr>
            <w:tcW w:w="666" w:type="dxa"/>
            <w:shd w:val="clear" w:color="auto" w:fill="auto"/>
          </w:tcPr>
          <w:p w:rsidR="00EB59FB" w:rsidRPr="0088737D" w:rsidRDefault="00EB59FB" w:rsidP="00EB5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582" w:type="dxa"/>
            <w:shd w:val="clear" w:color="auto" w:fill="auto"/>
          </w:tcPr>
          <w:p w:rsidR="00EB59FB" w:rsidRPr="00BD7B6D" w:rsidRDefault="00EB59FB" w:rsidP="00EB59FB">
            <w:pPr>
              <w:rPr>
                <w:lang w:val="uk-UA"/>
              </w:rPr>
            </w:pPr>
            <w:r w:rsidRPr="00BD7B6D">
              <w:rPr>
                <w:lang w:val="uk-UA"/>
              </w:rPr>
              <w:t>Місце проведення конкурсу</w:t>
            </w:r>
          </w:p>
        </w:tc>
        <w:tc>
          <w:tcPr>
            <w:tcW w:w="5273" w:type="dxa"/>
            <w:shd w:val="clear" w:color="auto" w:fill="auto"/>
          </w:tcPr>
          <w:p w:rsidR="00EB59FB" w:rsidRPr="00BD7B6D" w:rsidRDefault="00EB59FB" w:rsidP="00EB59FB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03035, м. Київ, вул. </w:t>
            </w:r>
            <w:r>
              <w:rPr>
                <w:lang w:val="uk-UA"/>
              </w:rPr>
              <w:t>Дениса Монастирського</w:t>
            </w:r>
            <w:r w:rsidRPr="00BD7B6D">
              <w:rPr>
                <w:lang w:val="uk-UA"/>
              </w:rPr>
              <w:t>, 3</w:t>
            </w:r>
            <w:r>
              <w:rPr>
                <w:lang w:val="uk-UA"/>
              </w:rPr>
              <w:t xml:space="preserve"> </w:t>
            </w:r>
            <w:r w:rsidRPr="009A057D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826E67" w:rsidRDefault="00826E67" w:rsidP="00194210">
      <w:pPr>
        <w:rPr>
          <w:lang w:val="uk-UA"/>
        </w:rPr>
      </w:pPr>
    </w:p>
    <w:sectPr w:rsidR="00826E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94" w:hanging="360"/>
      </w:pPr>
    </w:lvl>
    <w:lvl w:ilvl="2" w:tplc="0422001B" w:tentative="1">
      <w:start w:val="1"/>
      <w:numFmt w:val="lowerRoman"/>
      <w:lvlText w:val="%3."/>
      <w:lvlJc w:val="right"/>
      <w:pPr>
        <w:ind w:left="2214" w:hanging="180"/>
      </w:pPr>
    </w:lvl>
    <w:lvl w:ilvl="3" w:tplc="0422000F" w:tentative="1">
      <w:start w:val="1"/>
      <w:numFmt w:val="decimal"/>
      <w:lvlText w:val="%4."/>
      <w:lvlJc w:val="left"/>
      <w:pPr>
        <w:ind w:left="2934" w:hanging="360"/>
      </w:pPr>
    </w:lvl>
    <w:lvl w:ilvl="4" w:tplc="04220019" w:tentative="1">
      <w:start w:val="1"/>
      <w:numFmt w:val="lowerLetter"/>
      <w:lvlText w:val="%5."/>
      <w:lvlJc w:val="left"/>
      <w:pPr>
        <w:ind w:left="3654" w:hanging="360"/>
      </w:pPr>
    </w:lvl>
    <w:lvl w:ilvl="5" w:tplc="0422001B" w:tentative="1">
      <w:start w:val="1"/>
      <w:numFmt w:val="lowerRoman"/>
      <w:lvlText w:val="%6."/>
      <w:lvlJc w:val="right"/>
      <w:pPr>
        <w:ind w:left="4374" w:hanging="180"/>
      </w:pPr>
    </w:lvl>
    <w:lvl w:ilvl="6" w:tplc="0422000F" w:tentative="1">
      <w:start w:val="1"/>
      <w:numFmt w:val="decimal"/>
      <w:lvlText w:val="%7."/>
      <w:lvlJc w:val="left"/>
      <w:pPr>
        <w:ind w:left="5094" w:hanging="360"/>
      </w:pPr>
    </w:lvl>
    <w:lvl w:ilvl="7" w:tplc="04220019" w:tentative="1">
      <w:start w:val="1"/>
      <w:numFmt w:val="lowerLetter"/>
      <w:lvlText w:val="%8."/>
      <w:lvlJc w:val="left"/>
      <w:pPr>
        <w:ind w:left="5814" w:hanging="360"/>
      </w:pPr>
    </w:lvl>
    <w:lvl w:ilvl="8" w:tplc="0422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50730"/>
    <w:multiLevelType w:val="hybridMultilevel"/>
    <w:tmpl w:val="DD70B7F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654541"/>
    <w:multiLevelType w:val="hybridMultilevel"/>
    <w:tmpl w:val="22FA17DA"/>
    <w:lvl w:ilvl="0" w:tplc="72BE550E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A275C0">
      <w:start w:val="1"/>
      <w:numFmt w:val="lowerLetter"/>
      <w:lvlText w:val="%2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F4659A">
      <w:start w:val="1"/>
      <w:numFmt w:val="lowerRoman"/>
      <w:lvlText w:val="%3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4485C">
      <w:start w:val="1"/>
      <w:numFmt w:val="decimal"/>
      <w:lvlText w:val="%4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4AC31C">
      <w:start w:val="1"/>
      <w:numFmt w:val="lowerLetter"/>
      <w:lvlText w:val="%5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A3FB2">
      <w:start w:val="1"/>
      <w:numFmt w:val="lowerRoman"/>
      <w:lvlText w:val="%6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EE08A">
      <w:start w:val="1"/>
      <w:numFmt w:val="decimal"/>
      <w:lvlText w:val="%7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9CDE">
      <w:start w:val="1"/>
      <w:numFmt w:val="lowerLetter"/>
      <w:lvlText w:val="%8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8028FC">
      <w:start w:val="1"/>
      <w:numFmt w:val="lowerRoman"/>
      <w:lvlText w:val="%9"/>
      <w:lvlJc w:val="left"/>
      <w:pPr>
        <w:ind w:left="7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A6D13"/>
    <w:multiLevelType w:val="hybridMultilevel"/>
    <w:tmpl w:val="EA32FED0"/>
    <w:lvl w:ilvl="0" w:tplc="55B21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B0B58"/>
    <w:multiLevelType w:val="hybridMultilevel"/>
    <w:tmpl w:val="E298A4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650A8C"/>
    <w:multiLevelType w:val="hybridMultilevel"/>
    <w:tmpl w:val="780AA820"/>
    <w:lvl w:ilvl="0" w:tplc="677ED134">
      <w:start w:val="1"/>
      <w:numFmt w:val="decimal"/>
      <w:suff w:val="space"/>
      <w:lvlText w:val="%1)"/>
      <w:lvlJc w:val="left"/>
      <w:pPr>
        <w:ind w:left="113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90102"/>
    <w:multiLevelType w:val="hybridMultilevel"/>
    <w:tmpl w:val="BF4A160E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11D8A"/>
    <w:multiLevelType w:val="hybridMultilevel"/>
    <w:tmpl w:val="ED464AD4"/>
    <w:lvl w:ilvl="0" w:tplc="FF7A833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7386"/>
    <w:rsid w:val="00050BBD"/>
    <w:rsid w:val="000802FD"/>
    <w:rsid w:val="000972CE"/>
    <w:rsid w:val="000C19ED"/>
    <w:rsid w:val="000D169C"/>
    <w:rsid w:val="00145B86"/>
    <w:rsid w:val="0014710A"/>
    <w:rsid w:val="00194210"/>
    <w:rsid w:val="001A52F5"/>
    <w:rsid w:val="001D7588"/>
    <w:rsid w:val="00205DC7"/>
    <w:rsid w:val="00215212"/>
    <w:rsid w:val="00224756"/>
    <w:rsid w:val="00243F8C"/>
    <w:rsid w:val="00255C13"/>
    <w:rsid w:val="002C2E8D"/>
    <w:rsid w:val="002C677F"/>
    <w:rsid w:val="00320922"/>
    <w:rsid w:val="00333843"/>
    <w:rsid w:val="0033760D"/>
    <w:rsid w:val="00351CE5"/>
    <w:rsid w:val="003837F0"/>
    <w:rsid w:val="003879B3"/>
    <w:rsid w:val="00387E20"/>
    <w:rsid w:val="003A530F"/>
    <w:rsid w:val="003B79EC"/>
    <w:rsid w:val="003C7C62"/>
    <w:rsid w:val="00421611"/>
    <w:rsid w:val="004264DD"/>
    <w:rsid w:val="004470AB"/>
    <w:rsid w:val="004527FA"/>
    <w:rsid w:val="00456BFC"/>
    <w:rsid w:val="004A378D"/>
    <w:rsid w:val="00502849"/>
    <w:rsid w:val="00526B24"/>
    <w:rsid w:val="005443ED"/>
    <w:rsid w:val="00555E82"/>
    <w:rsid w:val="00570453"/>
    <w:rsid w:val="00581DAD"/>
    <w:rsid w:val="006162CE"/>
    <w:rsid w:val="00617E39"/>
    <w:rsid w:val="006C4A79"/>
    <w:rsid w:val="00720ED3"/>
    <w:rsid w:val="00732EDF"/>
    <w:rsid w:val="007624C1"/>
    <w:rsid w:val="00793F2C"/>
    <w:rsid w:val="007D5E8F"/>
    <w:rsid w:val="007E2851"/>
    <w:rsid w:val="007F4857"/>
    <w:rsid w:val="008003E7"/>
    <w:rsid w:val="00826E67"/>
    <w:rsid w:val="0088737D"/>
    <w:rsid w:val="008C749A"/>
    <w:rsid w:val="008F2FF8"/>
    <w:rsid w:val="009473F8"/>
    <w:rsid w:val="009519F3"/>
    <w:rsid w:val="00987C35"/>
    <w:rsid w:val="00A20DA0"/>
    <w:rsid w:val="00A31152"/>
    <w:rsid w:val="00A35793"/>
    <w:rsid w:val="00A3755D"/>
    <w:rsid w:val="00A97C1D"/>
    <w:rsid w:val="00AA25F0"/>
    <w:rsid w:val="00AD59B4"/>
    <w:rsid w:val="00B77629"/>
    <w:rsid w:val="00B867EA"/>
    <w:rsid w:val="00B926CA"/>
    <w:rsid w:val="00BC7B25"/>
    <w:rsid w:val="00BD7B6D"/>
    <w:rsid w:val="00BF0D6D"/>
    <w:rsid w:val="00BF6BA0"/>
    <w:rsid w:val="00C12654"/>
    <w:rsid w:val="00C20748"/>
    <w:rsid w:val="00C55526"/>
    <w:rsid w:val="00D266F0"/>
    <w:rsid w:val="00D26B2F"/>
    <w:rsid w:val="00D33EEE"/>
    <w:rsid w:val="00D5551A"/>
    <w:rsid w:val="00D60DF4"/>
    <w:rsid w:val="00D706DB"/>
    <w:rsid w:val="00DA0359"/>
    <w:rsid w:val="00DB32B1"/>
    <w:rsid w:val="00DC0FC5"/>
    <w:rsid w:val="00E3044F"/>
    <w:rsid w:val="00E45A8D"/>
    <w:rsid w:val="00EB59FB"/>
    <w:rsid w:val="00ED283F"/>
    <w:rsid w:val="00EF58CD"/>
    <w:rsid w:val="00F2498E"/>
    <w:rsid w:val="00F26EC9"/>
    <w:rsid w:val="00F4040E"/>
    <w:rsid w:val="00F408E6"/>
    <w:rsid w:val="00F67D82"/>
    <w:rsid w:val="00FE3133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E434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character" w:styleId="a4">
    <w:name w:val="Hyperlink"/>
    <w:uiPriority w:val="99"/>
    <w:unhideWhenUsed/>
    <w:rsid w:val="004527FA"/>
    <w:rPr>
      <w:color w:val="0000FF"/>
      <w:u w:val="single"/>
    </w:rPr>
  </w:style>
  <w:style w:type="paragraph" w:customStyle="1" w:styleId="1">
    <w:name w:val="Абзац списку1"/>
    <w:basedOn w:val="a"/>
    <w:rsid w:val="00FF03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FF03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2B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B32B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rmal (Web)"/>
    <w:basedOn w:val="a"/>
    <w:rsid w:val="00A31152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AA25F0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markedcontent">
    <w:name w:val="markedcontent"/>
    <w:rsid w:val="00AA25F0"/>
  </w:style>
  <w:style w:type="character" w:customStyle="1" w:styleId="rvts0">
    <w:name w:val="rvts0"/>
    <w:rsid w:val="003B79EC"/>
  </w:style>
  <w:style w:type="paragraph" w:customStyle="1" w:styleId="rvps2">
    <w:name w:val="rvps2"/>
    <w:basedOn w:val="a"/>
    <w:uiPriority w:val="99"/>
    <w:rsid w:val="00D33EE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FF18-CF17-43DE-9A29-C9876DC7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6730</Words>
  <Characters>3837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Цукарєва Ганна Вадимівна</cp:lastModifiedBy>
  <cp:revision>28</cp:revision>
  <cp:lastPrinted>2025-01-03T13:58:00Z</cp:lastPrinted>
  <dcterms:created xsi:type="dcterms:W3CDTF">2024-12-26T07:42:00Z</dcterms:created>
  <dcterms:modified xsi:type="dcterms:W3CDTF">2025-01-08T07:27:00Z</dcterms:modified>
</cp:coreProperties>
</file>