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692ADF" w:rsidP="00A824EB">
      <w:pPr>
        <w:jc w:val="center"/>
        <w:rPr>
          <w:b/>
          <w:sz w:val="28"/>
          <w:szCs w:val="28"/>
        </w:rPr>
      </w:pPr>
      <w:r>
        <w:rPr>
          <w:b/>
          <w:sz w:val="28"/>
          <w:szCs w:val="28"/>
          <w:lang w:val="uk-UA"/>
        </w:rPr>
        <w:t>Г</w:t>
      </w:r>
      <w:r w:rsidR="009C55F0">
        <w:rPr>
          <w:b/>
          <w:sz w:val="28"/>
          <w:szCs w:val="28"/>
          <w:lang w:val="uk-UA"/>
        </w:rPr>
        <w:t>оловн</w:t>
      </w:r>
      <w:r w:rsidR="00080BBA">
        <w:rPr>
          <w:b/>
          <w:sz w:val="28"/>
          <w:szCs w:val="28"/>
          <w:lang w:val="uk-UA"/>
        </w:rPr>
        <w:t>их</w:t>
      </w:r>
      <w:r w:rsidR="009C55F0">
        <w:rPr>
          <w:b/>
          <w:sz w:val="28"/>
          <w:szCs w:val="28"/>
          <w:lang w:val="uk-UA"/>
        </w:rPr>
        <w:t xml:space="preserve"> </w:t>
      </w:r>
      <w:r w:rsidR="00532547">
        <w:rPr>
          <w:b/>
          <w:sz w:val="28"/>
          <w:szCs w:val="28"/>
          <w:lang w:val="uk-UA"/>
        </w:rPr>
        <w:t>підрозділ</w:t>
      </w:r>
      <w:r w:rsidR="00080BBA">
        <w:rPr>
          <w:b/>
          <w:sz w:val="28"/>
          <w:szCs w:val="28"/>
          <w:lang w:val="uk-UA"/>
        </w:rPr>
        <w:t>ів</w:t>
      </w:r>
      <w:r w:rsidR="00532547">
        <w:rPr>
          <w:b/>
          <w:sz w:val="28"/>
          <w:szCs w:val="28"/>
          <w:lang w:val="uk-UA"/>
        </w:rPr>
        <w:t xml:space="preserve"> детективів</w:t>
      </w:r>
      <w:r w:rsidR="00762780">
        <w:rPr>
          <w:b/>
          <w:sz w:val="28"/>
          <w:szCs w:val="28"/>
          <w:lang w:val="uk-UA"/>
        </w:rPr>
        <w:t>»</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p>
    <w:p w:rsidR="000C7FB5" w:rsidRDefault="006C7F06" w:rsidP="00A824EB">
      <w:pPr>
        <w:jc w:val="center"/>
        <w:rPr>
          <w:b/>
          <w:sz w:val="28"/>
          <w:szCs w:val="28"/>
          <w:lang w:val="uk-UA"/>
        </w:rPr>
      </w:pPr>
      <w:r w:rsidRPr="00480AF4">
        <w:rPr>
          <w:b/>
          <w:sz w:val="28"/>
          <w:szCs w:val="28"/>
          <w:lang w:val="uk-UA"/>
        </w:rPr>
        <w:t>(</w:t>
      </w:r>
      <w:r w:rsidRPr="00080BBA">
        <w:rPr>
          <w:b/>
          <w:sz w:val="28"/>
          <w:szCs w:val="28"/>
          <w:lang w:val="uk-UA"/>
        </w:rPr>
        <w:t>з наданням робочого місця у м. Києві</w:t>
      </w:r>
      <w:r w:rsidR="00080BBA">
        <w:rPr>
          <w:b/>
          <w:sz w:val="28"/>
          <w:szCs w:val="28"/>
          <w:lang w:val="uk-UA"/>
        </w:rPr>
        <w:t>, м. Дніпрі</w:t>
      </w:r>
      <w:r w:rsidRPr="00480AF4">
        <w:rPr>
          <w:b/>
          <w:sz w:val="28"/>
          <w:szCs w:val="28"/>
          <w:lang w:val="uk-UA"/>
        </w:rPr>
        <w:t>)</w:t>
      </w:r>
      <w:r w:rsidR="000C7FB5">
        <w:rPr>
          <w:b/>
          <w:sz w:val="28"/>
          <w:szCs w:val="28"/>
          <w:lang w:val="uk-UA"/>
        </w:rPr>
        <w:t xml:space="preserve"> </w:t>
      </w:r>
    </w:p>
    <w:p w:rsidR="006C7F06" w:rsidRPr="000C0FD1" w:rsidRDefault="006C7F06" w:rsidP="00A824EB">
      <w:pPr>
        <w:jc w:val="center"/>
        <w:rPr>
          <w:b/>
          <w:sz w:val="28"/>
          <w:szCs w:val="28"/>
          <w:lang w:val="uk-UA"/>
        </w:rPr>
      </w:pP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w:t>
            </w:r>
            <w:bookmarkStart w:id="0" w:name="_GoBack"/>
            <w:bookmarkEnd w:id="0"/>
            <w:r>
              <w:rPr>
                <w:rFonts w:ascii="Times New Roman" w:hAnsi="Times New Roman"/>
                <w:lang w:val="uk-UA"/>
              </w:rPr>
              <w:t>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E36627">
            <w:pPr>
              <w:pStyle w:val="21"/>
              <w:widowControl w:val="0"/>
              <w:rPr>
                <w:rFonts w:ascii="Times New Roman" w:hAnsi="Times New Roman"/>
                <w:sz w:val="24"/>
                <w:szCs w:val="24"/>
                <w:lang w:val="uk-UA"/>
              </w:rPr>
            </w:pPr>
            <w:r w:rsidRPr="00E36627">
              <w:rPr>
                <w:rFonts w:ascii="Times New Roman" w:hAnsi="Times New Roman"/>
                <w:sz w:val="24"/>
                <w:szCs w:val="24"/>
                <w:lang w:val="uk-UA"/>
              </w:rPr>
              <w:t>«</w:t>
            </w:r>
            <w:r w:rsidR="00E36627">
              <w:rPr>
                <w:rFonts w:ascii="Times New Roman" w:hAnsi="Times New Roman"/>
                <w:sz w:val="24"/>
                <w:szCs w:val="24"/>
                <w:u w:val="single"/>
                <w:lang w:val="uk-UA"/>
              </w:rPr>
              <w:t>28</w:t>
            </w:r>
            <w:r w:rsidRPr="00E36627">
              <w:rPr>
                <w:rFonts w:ascii="Times New Roman" w:hAnsi="Times New Roman"/>
                <w:sz w:val="24"/>
                <w:szCs w:val="24"/>
                <w:lang w:val="uk-UA"/>
              </w:rPr>
              <w:t>»</w:t>
            </w:r>
            <w:r w:rsidRPr="00E36627">
              <w:rPr>
                <w:rFonts w:ascii="Times New Roman" w:hAnsi="Times New Roman"/>
                <w:sz w:val="24"/>
                <w:szCs w:val="24"/>
              </w:rPr>
              <w:t xml:space="preserve"> </w:t>
            </w:r>
            <w:r w:rsidR="00080BBA">
              <w:rPr>
                <w:rFonts w:ascii="Times New Roman" w:hAnsi="Times New Roman"/>
                <w:sz w:val="24"/>
                <w:szCs w:val="24"/>
                <w:lang w:val="uk-UA"/>
              </w:rPr>
              <w:t>січня</w:t>
            </w:r>
            <w:r>
              <w:rPr>
                <w:rFonts w:ascii="Times New Roman" w:hAnsi="Times New Roman"/>
                <w:sz w:val="24"/>
                <w:szCs w:val="24"/>
                <w:lang w:val="uk-UA"/>
              </w:rPr>
              <w:t xml:space="preserve"> 202</w:t>
            </w:r>
            <w:r w:rsidR="00080BBA">
              <w:rPr>
                <w:rFonts w:ascii="Times New Roman" w:hAnsi="Times New Roman"/>
                <w:sz w:val="24"/>
                <w:szCs w:val="24"/>
                <w:lang w:val="uk-UA"/>
              </w:rPr>
              <w:t>5</w:t>
            </w:r>
            <w:r>
              <w:rPr>
                <w:rFonts w:ascii="Times New Roman" w:hAnsi="Times New Roman"/>
                <w:sz w:val="24"/>
                <w:szCs w:val="24"/>
                <w:lang w:val="uk-UA"/>
              </w:rPr>
              <w:t xml:space="preserve">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6B6652" w:rsidP="00A91A73">
            <w:pPr>
              <w:rPr>
                <w:lang w:val="uk-UA"/>
              </w:rPr>
            </w:pPr>
            <w:r>
              <w:rPr>
                <w:lang w:val="uk-UA"/>
              </w:rPr>
              <w:t>Підрозділ детективів Головних підрозділів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A91A73">
            <w:pPr>
              <w:rPr>
                <w:lang w:val="uk-UA"/>
              </w:rPr>
            </w:pPr>
            <w:r>
              <w:rPr>
                <w:lang w:val="uk-UA"/>
              </w:rPr>
              <w:t>Заступник к</w:t>
            </w:r>
            <w:r w:rsidR="00027A8E">
              <w:rPr>
                <w:lang w:val="uk-UA"/>
              </w:rPr>
              <w:t>ерівник</w:t>
            </w:r>
            <w:r>
              <w:rPr>
                <w:lang w:val="uk-UA"/>
              </w:rPr>
              <w:t>а</w:t>
            </w:r>
            <w:r w:rsidR="00027A8E">
              <w:rPr>
                <w:lang w:val="uk-UA"/>
              </w:rPr>
              <w:t xml:space="preserve"> </w:t>
            </w:r>
            <w:r w:rsidR="006B6652">
              <w:rPr>
                <w:lang w:val="uk-UA"/>
              </w:rPr>
              <w:t>підрозділу детективів Головних підрозділів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C1DE6" w:rsidP="005C1DE6">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A91A73"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A91A73"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FD30A2">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w:t>
            </w:r>
            <w:r w:rsidR="005233D6">
              <w:rPr>
                <w:lang w:val="uk-UA"/>
              </w:rPr>
              <w:t xml:space="preserve"> липня </w:t>
            </w:r>
            <w:r w:rsidRPr="000C0FD1">
              <w:rPr>
                <w:lang w:val="uk-UA"/>
              </w:rPr>
              <w:t>1991</w:t>
            </w:r>
            <w:r w:rsidR="005233D6">
              <w:rPr>
                <w:lang w:val="uk-UA"/>
              </w:rPr>
              <w:t xml:space="preserve"> р.</w:t>
            </w:r>
            <w:r w:rsidRPr="000C0FD1">
              <w:rPr>
                <w:lang w:val="uk-UA"/>
              </w:rPr>
              <w:t xml:space="preserve">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Pr="009B6343" w:rsidRDefault="00F21C62" w:rsidP="00F21C62">
            <w:pPr>
              <w:numPr>
                <w:ilvl w:val="0"/>
                <w:numId w:val="26"/>
              </w:numPr>
              <w:ind w:left="298" w:hanging="298"/>
              <w:rPr>
                <w:rFonts w:cs="Calibri"/>
                <w:szCs w:val="20"/>
                <w:lang w:val="uk-UA" w:eastAsia="uk-UA"/>
              </w:rPr>
            </w:pPr>
            <w:r>
              <w:rPr>
                <w:rFonts w:cs="Calibri"/>
                <w:szCs w:val="20"/>
                <w:lang w:val="uk-UA" w:eastAsia="uk-UA"/>
              </w:rPr>
              <w:t xml:space="preserve">тестування на знання законодавства 1-го та 2-го </w:t>
            </w:r>
            <w:r w:rsidRPr="009B6343">
              <w:rPr>
                <w:rFonts w:cs="Calibri"/>
                <w:szCs w:val="20"/>
                <w:lang w:val="uk-UA" w:eastAsia="uk-UA"/>
              </w:rPr>
              <w:t>рівнів (</w:t>
            </w:r>
            <w:hyperlink r:id="rId7" w:history="1">
              <w:r w:rsidRPr="009B6343">
                <w:rPr>
                  <w:rStyle w:val="ad"/>
                  <w:rFonts w:cs="Calibri"/>
                  <w:szCs w:val="20"/>
                  <w:lang w:val="uk-UA" w:eastAsia="uk-UA"/>
                </w:rPr>
                <w:t>https://nabu.gov.ua/perelik-pytan-do-kvalifikaciynogo-ispytu</w:t>
              </w:r>
            </w:hyperlink>
            <w:r w:rsidRPr="009B6343">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1)</w:t>
            </w:r>
            <w:r w:rsidR="005A5AFA">
              <w:rPr>
                <w:rFonts w:cs="Calibri"/>
                <w:szCs w:val="20"/>
                <w:lang w:val="uk-UA" w:eastAsia="uk-UA"/>
              </w:rPr>
              <w:t xml:space="preserve"> </w:t>
            </w:r>
            <w:r w:rsidR="005A5AFA" w:rsidRPr="005A5AFA">
              <w:rPr>
                <w:rFonts w:cs="Calibri"/>
                <w:szCs w:val="20"/>
                <w:lang w:val="uk-UA" w:eastAsia="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2) </w:t>
            </w:r>
            <w:r w:rsidR="005A5AFA" w:rsidRPr="0012628E">
              <w:rPr>
                <w:lang w:val="uk-UA"/>
              </w:rPr>
              <w:t>анкет</w:t>
            </w:r>
            <w:r w:rsidR="005A5AFA">
              <w:rPr>
                <w:lang w:val="uk-UA"/>
              </w:rPr>
              <w:t>а</w:t>
            </w:r>
            <w:r w:rsidR="005A5AFA" w:rsidRPr="0012628E">
              <w:rPr>
                <w:lang w:val="uk-UA"/>
              </w:rPr>
              <w:t xml:space="preserve"> кандидата на посаду до Національного антикорупційного бюро України із заповненням всіх визначених у додатку полів анкети</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w:t>
            </w:r>
            <w:r w:rsidR="005A5AFA">
              <w:rPr>
                <w:rFonts w:cs="Calibri"/>
                <w:szCs w:val="20"/>
                <w:lang w:val="uk-UA" w:eastAsia="uk-UA"/>
              </w:rPr>
              <w:t>я</w:t>
            </w:r>
            <w:r w:rsidRPr="00F21C62">
              <w:rPr>
                <w:rFonts w:cs="Calibri"/>
                <w:szCs w:val="20"/>
                <w:lang w:val="uk-UA" w:eastAsia="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4) копі</w:t>
            </w:r>
            <w:r w:rsidR="005A5AFA">
              <w:rPr>
                <w:rFonts w:cs="Calibri"/>
                <w:szCs w:val="20"/>
                <w:lang w:val="uk-UA" w:eastAsia="uk-UA"/>
              </w:rPr>
              <w:t>я</w:t>
            </w:r>
            <w:r w:rsidRPr="00F21C62">
              <w:rPr>
                <w:rFonts w:cs="Calibri"/>
                <w:szCs w:val="20"/>
                <w:lang w:val="uk-UA" w:eastAsia="uk-UA"/>
              </w:rPr>
              <w:t xml:space="preserve"> декларації особи, уповноваженої на виконання функцій держави або місцевого самоврядування, за минулий рік, подан</w:t>
            </w:r>
            <w:r w:rsidR="005A5AFA">
              <w:rPr>
                <w:rFonts w:cs="Calibri"/>
                <w:szCs w:val="20"/>
                <w:lang w:val="uk-UA" w:eastAsia="uk-UA"/>
              </w:rPr>
              <w:t>а</w:t>
            </w:r>
            <w:r w:rsidRPr="00F21C62">
              <w:rPr>
                <w:rFonts w:cs="Calibri"/>
                <w:szCs w:val="20"/>
                <w:lang w:val="uk-UA" w:eastAsia="uk-UA"/>
              </w:rPr>
              <w:t xml:space="preserve">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w:t>
            </w:r>
            <w:r w:rsidR="005A5AFA" w:rsidRPr="00FC4853">
              <w:rPr>
                <w:lang w:val="uk-UA"/>
              </w:rPr>
              <w:t>заява про відсутність</w:t>
            </w:r>
            <w:r w:rsidR="005A5AFA">
              <w:rPr>
                <w:lang w:val="uk-UA"/>
              </w:rPr>
              <w:t xml:space="preserve"> заборгованості </w:t>
            </w:r>
            <w:r w:rsidR="005A5AFA" w:rsidRPr="0012628E">
              <w:rPr>
                <w:lang w:val="uk-UA"/>
              </w:rPr>
              <w:t xml:space="preserve">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w:t>
            </w:r>
            <w:r w:rsidR="005A5AFA" w:rsidRPr="0012628E">
              <w:rPr>
                <w:lang w:val="uk-UA"/>
              </w:rPr>
              <w:lastRenderedPageBreak/>
              <w:t>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у конкурсі, лише заява або резюме не реєструється як вхідний документ та повертається на зворотн</w:t>
            </w:r>
            <w:r w:rsidR="006B6652">
              <w:rPr>
                <w:rFonts w:cs="Calibri"/>
                <w:szCs w:val="20"/>
                <w:lang w:val="uk-UA" w:eastAsia="uk-UA"/>
              </w:rPr>
              <w:t>у</w:t>
            </w:r>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w:t>
            </w:r>
            <w:r w:rsidR="000B11B7">
              <w:rPr>
                <w:rFonts w:cs="Calibri"/>
                <w:szCs w:val="20"/>
                <w:lang w:val="uk-UA" w:eastAsia="uk-UA"/>
              </w:rPr>
              <w:t xml:space="preserve">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w:t>
            </w:r>
            <w:r w:rsidR="000B11B7">
              <w:rPr>
                <w:rFonts w:cs="Calibri"/>
                <w:szCs w:val="20"/>
                <w:lang w:val="uk-UA" w:eastAsia="uk-UA"/>
              </w:rPr>
              <w:t xml:space="preserve"> з</w:t>
            </w:r>
            <w:r w:rsidRPr="00F21C62">
              <w:rPr>
                <w:rFonts w:cs="Calibri"/>
                <w:szCs w:val="20"/>
                <w:lang w:val="uk-UA" w:eastAsia="uk-UA"/>
              </w:rPr>
              <w:t xml:space="preserve"> пункт</w:t>
            </w:r>
            <w:r w:rsidR="000B11B7">
              <w:rPr>
                <w:rFonts w:cs="Calibri"/>
                <w:szCs w:val="20"/>
                <w:lang w:val="uk-UA" w:eastAsia="uk-UA"/>
              </w:rPr>
              <w:t>ом</w:t>
            </w:r>
            <w:r w:rsidRPr="00F21C62">
              <w:rPr>
                <w:rFonts w:cs="Calibri"/>
                <w:szCs w:val="20"/>
                <w:lang w:val="uk-UA" w:eastAsia="uk-UA"/>
              </w:rPr>
              <w:t xml:space="preserve">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F21C62">
            <w:pPr>
              <w:jc w:val="both"/>
              <w:rPr>
                <w:sz w:val="10"/>
                <w:szCs w:val="10"/>
                <w:lang w:val="uk-UA"/>
              </w:rPr>
            </w:pPr>
            <w:r>
              <w:rPr>
                <w:lang w:val="uk-UA"/>
              </w:rPr>
              <w:t>Протягом 1</w:t>
            </w:r>
            <w:r w:rsidRPr="000C0FD1">
              <w:rPr>
                <w:lang w:val="uk-UA"/>
              </w:rPr>
              <w:t xml:space="preserve">0 календарних днів </w:t>
            </w:r>
          </w:p>
        </w:tc>
      </w:tr>
      <w:tr w:rsidR="00A91626" w:rsidRPr="000C0FD1" w:rsidTr="00601C63">
        <w:tc>
          <w:tcPr>
            <w:tcW w:w="835" w:type="dxa"/>
            <w:shd w:val="clear" w:color="auto" w:fill="auto"/>
          </w:tcPr>
          <w:p w:rsidR="00A91626" w:rsidRPr="000C0FD1" w:rsidRDefault="00A91626" w:rsidP="00A91626">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A91626" w:rsidRPr="00B32BD1" w:rsidRDefault="00A91626" w:rsidP="00A91626">
            <w:pPr>
              <w:rPr>
                <w:sz w:val="6"/>
                <w:szCs w:val="6"/>
                <w:lang w:val="uk-UA"/>
              </w:rPr>
            </w:pPr>
            <w:r>
              <w:rPr>
                <w:lang w:val="uk-UA"/>
              </w:rPr>
              <w:t>Прийом документів</w:t>
            </w:r>
          </w:p>
        </w:tc>
        <w:tc>
          <w:tcPr>
            <w:tcW w:w="5947" w:type="dxa"/>
            <w:tcBorders>
              <w:top w:val="single" w:sz="4" w:space="0" w:color="auto"/>
              <w:left w:val="single" w:sz="4" w:space="0" w:color="auto"/>
              <w:bottom w:val="single" w:sz="4" w:space="0" w:color="auto"/>
              <w:right w:val="single" w:sz="4" w:space="0" w:color="auto"/>
            </w:tcBorders>
            <w:vAlign w:val="center"/>
          </w:tcPr>
          <w:p w:rsidR="00A91626" w:rsidRPr="002B7C17" w:rsidRDefault="00A91626" w:rsidP="00A91626">
            <w:pPr>
              <w:rPr>
                <w:lang w:val="uk-UA"/>
              </w:rPr>
            </w:pPr>
            <w:r>
              <w:t>З</w:t>
            </w:r>
            <w:r w:rsidRPr="00A91626">
              <w:rPr>
                <w:lang w:val="uk-UA"/>
              </w:rPr>
              <w:t xml:space="preserve">а посиланням на </w:t>
            </w:r>
            <w:proofErr w:type="spellStart"/>
            <w:r w:rsidRPr="00A91626">
              <w:rPr>
                <w:lang w:val="uk-UA"/>
              </w:rPr>
              <w:t>вебсайті</w:t>
            </w:r>
            <w:proofErr w:type="spellEnd"/>
            <w:r w:rsidRPr="00A91626">
              <w:rPr>
                <w:lang w:val="uk-UA"/>
              </w:rPr>
              <w:t xml:space="preserve"> Національного бюро </w:t>
            </w:r>
            <w:hyperlink r:id="rId9" w:history="1">
              <w:r>
                <w:rPr>
                  <w:rStyle w:val="ad"/>
                </w:rPr>
                <w:t>https://nabu.gov.ua/robota-v-nabu/perelik-vakansiy/</w:t>
              </w:r>
            </w:hyperlink>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E-mail: </w:t>
            </w:r>
            <w:hyperlink r:id="rId10" w:history="1">
              <w:r>
                <w:rPr>
                  <w:rStyle w:val="ad"/>
                  <w:rFonts w:cs="Calibri"/>
                  <w:szCs w:val="20"/>
                  <w:lang w:val="uk-UA" w:eastAsia="uk-UA"/>
                </w:rPr>
                <w:t>commission1@nabu.gov.ua</w:t>
              </w:r>
            </w:hyperlink>
          </w:p>
          <w:p w:rsidR="00F21C62" w:rsidRDefault="0035227C" w:rsidP="00F21C62">
            <w:pPr>
              <w:rPr>
                <w:rFonts w:cs="Calibri"/>
                <w:szCs w:val="20"/>
                <w:lang w:val="uk-UA" w:eastAsia="uk-UA"/>
              </w:rPr>
            </w:pPr>
            <w:r>
              <w:rPr>
                <w:rFonts w:cs="Calibri"/>
                <w:szCs w:val="20"/>
                <w:lang w:val="uk-UA" w:eastAsia="uk-UA"/>
              </w:rPr>
              <w:t>(</w:t>
            </w:r>
            <w:r w:rsidR="00F21C62">
              <w:rPr>
                <w:rFonts w:cs="Calibri"/>
                <w:szCs w:val="20"/>
                <w:lang w:val="uk-UA" w:eastAsia="uk-UA"/>
              </w:rPr>
              <w:t>044</w:t>
            </w:r>
            <w:r>
              <w:rPr>
                <w:rFonts w:cs="Calibri"/>
                <w:szCs w:val="20"/>
                <w:lang w:val="uk-UA" w:eastAsia="uk-UA"/>
              </w:rPr>
              <w:t xml:space="preserve">) </w:t>
            </w:r>
            <w:r w:rsidR="00F21C62">
              <w:rPr>
                <w:rFonts w:cs="Calibri"/>
                <w:szCs w:val="20"/>
                <w:lang w:val="uk-UA" w:eastAsia="uk-UA"/>
              </w:rPr>
              <w:t>241-31-22</w:t>
            </w:r>
          </w:p>
          <w:p w:rsidR="00F21C62" w:rsidRDefault="00F21C62" w:rsidP="00F21C62">
            <w:pPr>
              <w:rPr>
                <w:rFonts w:cs="Calibri"/>
                <w:sz w:val="4"/>
                <w:szCs w:val="20"/>
                <w:lang w:val="uk-UA" w:eastAsia="uk-UA"/>
              </w:rPr>
            </w:pPr>
          </w:p>
        </w:tc>
      </w:tr>
      <w:tr w:rsidR="00F21C62" w:rsidRPr="00A91A73"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503E24">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91626">
            <w:pPr>
              <w:rPr>
                <w:rFonts w:cs="Calibri"/>
                <w:szCs w:val="20"/>
                <w:lang w:val="uk-UA" w:eastAsia="uk-UA"/>
              </w:rPr>
            </w:pPr>
            <w:r>
              <w:rPr>
                <w:rFonts w:cs="Calibri"/>
                <w:szCs w:val="20"/>
                <w:lang w:val="uk-UA" w:eastAsia="uk-UA"/>
              </w:rPr>
              <w:t>м. Київ, вул. Дениса Монастирського, 3 (адміністративна будівля Національного бюро)</w:t>
            </w:r>
          </w:p>
        </w:tc>
      </w:tr>
    </w:tbl>
    <w:p w:rsidR="008E047B" w:rsidRDefault="008E047B" w:rsidP="00F21C62"/>
    <w:p w:rsidR="00F21C62" w:rsidRPr="0081601A" w:rsidRDefault="00F21C62" w:rsidP="00F21C62">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1"/>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D1" w:rsidRDefault="006E7ED1" w:rsidP="005C3C0A">
      <w:r>
        <w:separator/>
      </w:r>
    </w:p>
  </w:endnote>
  <w:endnote w:type="continuationSeparator" w:id="0">
    <w:p w:rsidR="006E7ED1" w:rsidRDefault="006E7ED1"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D1" w:rsidRDefault="006E7ED1" w:rsidP="005C3C0A">
      <w:r>
        <w:separator/>
      </w:r>
    </w:p>
  </w:footnote>
  <w:footnote w:type="continuationSeparator" w:id="0">
    <w:p w:rsidR="006E7ED1" w:rsidRDefault="006E7ED1"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0BBA"/>
    <w:rsid w:val="000863BD"/>
    <w:rsid w:val="000B11B7"/>
    <w:rsid w:val="000B33BC"/>
    <w:rsid w:val="000C0FD1"/>
    <w:rsid w:val="000C13C0"/>
    <w:rsid w:val="000C37E5"/>
    <w:rsid w:val="000C7FB5"/>
    <w:rsid w:val="000D079E"/>
    <w:rsid w:val="000D27E4"/>
    <w:rsid w:val="000D5ACB"/>
    <w:rsid w:val="000D6D2A"/>
    <w:rsid w:val="000E7478"/>
    <w:rsid w:val="000F70FB"/>
    <w:rsid w:val="00140866"/>
    <w:rsid w:val="00147CDA"/>
    <w:rsid w:val="00150D94"/>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B49B7"/>
    <w:rsid w:val="002C335E"/>
    <w:rsid w:val="002C5025"/>
    <w:rsid w:val="002C5898"/>
    <w:rsid w:val="002C768F"/>
    <w:rsid w:val="002D7DE4"/>
    <w:rsid w:val="002E0226"/>
    <w:rsid w:val="002E75E2"/>
    <w:rsid w:val="003005FA"/>
    <w:rsid w:val="00302077"/>
    <w:rsid w:val="003070A0"/>
    <w:rsid w:val="0031159E"/>
    <w:rsid w:val="003206C8"/>
    <w:rsid w:val="003331D8"/>
    <w:rsid w:val="003373F1"/>
    <w:rsid w:val="0035227C"/>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D29D7"/>
    <w:rsid w:val="004D7C35"/>
    <w:rsid w:val="004E2135"/>
    <w:rsid w:val="004E76D2"/>
    <w:rsid w:val="004F16E5"/>
    <w:rsid w:val="004F256B"/>
    <w:rsid w:val="004F4DD5"/>
    <w:rsid w:val="00503E24"/>
    <w:rsid w:val="005112AC"/>
    <w:rsid w:val="005123B7"/>
    <w:rsid w:val="00512998"/>
    <w:rsid w:val="005176F6"/>
    <w:rsid w:val="00517EC8"/>
    <w:rsid w:val="005233D6"/>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C8D"/>
    <w:rsid w:val="005A5AFA"/>
    <w:rsid w:val="005B55D1"/>
    <w:rsid w:val="005B752F"/>
    <w:rsid w:val="005C1DE6"/>
    <w:rsid w:val="005C2A30"/>
    <w:rsid w:val="005C3C0A"/>
    <w:rsid w:val="005C5A38"/>
    <w:rsid w:val="005D3496"/>
    <w:rsid w:val="005D7F0F"/>
    <w:rsid w:val="005F2196"/>
    <w:rsid w:val="00602324"/>
    <w:rsid w:val="006024ED"/>
    <w:rsid w:val="00605094"/>
    <w:rsid w:val="00617D61"/>
    <w:rsid w:val="00620A67"/>
    <w:rsid w:val="0062196A"/>
    <w:rsid w:val="00630F1F"/>
    <w:rsid w:val="00632784"/>
    <w:rsid w:val="006418A2"/>
    <w:rsid w:val="0064718D"/>
    <w:rsid w:val="00651405"/>
    <w:rsid w:val="00666F0A"/>
    <w:rsid w:val="006676E5"/>
    <w:rsid w:val="0067655B"/>
    <w:rsid w:val="006766B2"/>
    <w:rsid w:val="00692ADF"/>
    <w:rsid w:val="00695343"/>
    <w:rsid w:val="00696669"/>
    <w:rsid w:val="006A2E7E"/>
    <w:rsid w:val="006A7994"/>
    <w:rsid w:val="006B6652"/>
    <w:rsid w:val="006B7D21"/>
    <w:rsid w:val="006C5FC0"/>
    <w:rsid w:val="006C7F06"/>
    <w:rsid w:val="006D4F2A"/>
    <w:rsid w:val="006D6089"/>
    <w:rsid w:val="006D6509"/>
    <w:rsid w:val="006D6F8B"/>
    <w:rsid w:val="006E7ED1"/>
    <w:rsid w:val="006F4D8E"/>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780"/>
    <w:rsid w:val="007629CA"/>
    <w:rsid w:val="007714D1"/>
    <w:rsid w:val="00772A75"/>
    <w:rsid w:val="00774078"/>
    <w:rsid w:val="007815E8"/>
    <w:rsid w:val="0078417B"/>
    <w:rsid w:val="00785807"/>
    <w:rsid w:val="00786CEF"/>
    <w:rsid w:val="00787AFB"/>
    <w:rsid w:val="00790D0F"/>
    <w:rsid w:val="007A0729"/>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1C5D"/>
    <w:rsid w:val="008543B0"/>
    <w:rsid w:val="0087291A"/>
    <w:rsid w:val="008845BB"/>
    <w:rsid w:val="00887CBB"/>
    <w:rsid w:val="008A5F62"/>
    <w:rsid w:val="008B521C"/>
    <w:rsid w:val="008B5C57"/>
    <w:rsid w:val="008C085B"/>
    <w:rsid w:val="008C26B6"/>
    <w:rsid w:val="008C3295"/>
    <w:rsid w:val="008C420A"/>
    <w:rsid w:val="008D1BC8"/>
    <w:rsid w:val="008D5839"/>
    <w:rsid w:val="008D7E37"/>
    <w:rsid w:val="008E047B"/>
    <w:rsid w:val="008E1871"/>
    <w:rsid w:val="008F0997"/>
    <w:rsid w:val="00904F8F"/>
    <w:rsid w:val="0091085C"/>
    <w:rsid w:val="0091192E"/>
    <w:rsid w:val="00916856"/>
    <w:rsid w:val="00933806"/>
    <w:rsid w:val="00940B33"/>
    <w:rsid w:val="00940F54"/>
    <w:rsid w:val="009712BD"/>
    <w:rsid w:val="0097152D"/>
    <w:rsid w:val="00975D14"/>
    <w:rsid w:val="009776F3"/>
    <w:rsid w:val="00984D58"/>
    <w:rsid w:val="00995F46"/>
    <w:rsid w:val="009A0288"/>
    <w:rsid w:val="009B1CCA"/>
    <w:rsid w:val="009B6343"/>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1626"/>
    <w:rsid w:val="00A91A73"/>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0CB9"/>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53101"/>
    <w:rsid w:val="00C66715"/>
    <w:rsid w:val="00C765DB"/>
    <w:rsid w:val="00C76AE4"/>
    <w:rsid w:val="00C81B66"/>
    <w:rsid w:val="00C84D3C"/>
    <w:rsid w:val="00CB477F"/>
    <w:rsid w:val="00CB72A2"/>
    <w:rsid w:val="00CC0FDC"/>
    <w:rsid w:val="00CC6288"/>
    <w:rsid w:val="00CD7EC4"/>
    <w:rsid w:val="00CE5B09"/>
    <w:rsid w:val="00CF1723"/>
    <w:rsid w:val="00CF1F40"/>
    <w:rsid w:val="00CF596A"/>
    <w:rsid w:val="00D04670"/>
    <w:rsid w:val="00D06C76"/>
    <w:rsid w:val="00D1445A"/>
    <w:rsid w:val="00D17D89"/>
    <w:rsid w:val="00D23D78"/>
    <w:rsid w:val="00D275BE"/>
    <w:rsid w:val="00D302C3"/>
    <w:rsid w:val="00D32115"/>
    <w:rsid w:val="00D42721"/>
    <w:rsid w:val="00D464B2"/>
    <w:rsid w:val="00D467A5"/>
    <w:rsid w:val="00D55950"/>
    <w:rsid w:val="00D7558B"/>
    <w:rsid w:val="00D81C6D"/>
    <w:rsid w:val="00D82103"/>
    <w:rsid w:val="00D85BFA"/>
    <w:rsid w:val="00DA4D38"/>
    <w:rsid w:val="00DA5B10"/>
    <w:rsid w:val="00DC63D0"/>
    <w:rsid w:val="00DC6911"/>
    <w:rsid w:val="00DE0F68"/>
    <w:rsid w:val="00DE5482"/>
    <w:rsid w:val="00DF0977"/>
    <w:rsid w:val="00E00485"/>
    <w:rsid w:val="00E03895"/>
    <w:rsid w:val="00E03941"/>
    <w:rsid w:val="00E04DBE"/>
    <w:rsid w:val="00E2162C"/>
    <w:rsid w:val="00E21AA7"/>
    <w:rsid w:val="00E230D2"/>
    <w:rsid w:val="00E30875"/>
    <w:rsid w:val="00E36627"/>
    <w:rsid w:val="00E4232D"/>
    <w:rsid w:val="00E44651"/>
    <w:rsid w:val="00E75FF7"/>
    <w:rsid w:val="00E7634A"/>
    <w:rsid w:val="00E925C2"/>
    <w:rsid w:val="00E971D0"/>
    <w:rsid w:val="00EB2726"/>
    <w:rsid w:val="00EB5C89"/>
    <w:rsid w:val="00EE52E6"/>
    <w:rsid w:val="00F04638"/>
    <w:rsid w:val="00F05768"/>
    <w:rsid w:val="00F11D71"/>
    <w:rsid w:val="00F147EC"/>
    <w:rsid w:val="00F21C62"/>
    <w:rsid w:val="00F234FC"/>
    <w:rsid w:val="00F23819"/>
    <w:rsid w:val="00F24DD1"/>
    <w:rsid w:val="00F448C9"/>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08D4"/>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7148</Words>
  <Characters>4075</Characters>
  <Application>Microsoft Office Word</Application>
  <DocSecurity>0</DocSecurity>
  <Lines>33</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11201</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Фільварська Наталія Йосипівна</cp:lastModifiedBy>
  <cp:revision>26</cp:revision>
  <cp:lastPrinted>2020-07-13T08:15:00Z</cp:lastPrinted>
  <dcterms:created xsi:type="dcterms:W3CDTF">2024-03-14T10:25:00Z</dcterms:created>
  <dcterms:modified xsi:type="dcterms:W3CDTF">2025-01-29T13:57:00Z</dcterms:modified>
</cp:coreProperties>
</file>