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1D" w:rsidRDefault="005E281D" w:rsidP="00E07ABB">
      <w:pPr>
        <w:jc w:val="center"/>
        <w:rPr>
          <w:b/>
          <w:sz w:val="28"/>
          <w:szCs w:val="28"/>
          <w:lang w:val="uk-UA"/>
        </w:rPr>
      </w:pPr>
    </w:p>
    <w:p w:rsidR="00E07ABB" w:rsidRPr="007D2029" w:rsidRDefault="00E07ABB" w:rsidP="00E07ABB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 xml:space="preserve">ПРОФІЛЬ ПОСАДИ </w:t>
      </w:r>
    </w:p>
    <w:p w:rsidR="00985B90" w:rsidRPr="007D2029" w:rsidRDefault="00985B90" w:rsidP="00A82DCA">
      <w:pPr>
        <w:jc w:val="center"/>
        <w:rPr>
          <w:b/>
          <w:sz w:val="28"/>
          <w:szCs w:val="28"/>
          <w:lang w:val="uk-UA"/>
        </w:rPr>
      </w:pPr>
      <w:r w:rsidRPr="00C146FA">
        <w:rPr>
          <w:b/>
          <w:sz w:val="28"/>
          <w:szCs w:val="28"/>
          <w:lang w:val="uk-UA"/>
        </w:rPr>
        <w:t>«</w:t>
      </w:r>
      <w:r w:rsidR="00E06E99">
        <w:rPr>
          <w:b/>
          <w:sz w:val="28"/>
          <w:szCs w:val="28"/>
          <w:lang w:val="uk-UA"/>
        </w:rPr>
        <w:t>Д</w:t>
      </w:r>
      <w:r w:rsidR="00A82DCA" w:rsidRPr="00C146FA">
        <w:rPr>
          <w:b/>
          <w:sz w:val="28"/>
          <w:szCs w:val="28"/>
          <w:lang w:val="uk-UA"/>
        </w:rPr>
        <w:t>етектив</w:t>
      </w:r>
      <w:r w:rsidR="00A82DCA" w:rsidRPr="00A82DCA">
        <w:rPr>
          <w:b/>
          <w:sz w:val="28"/>
          <w:szCs w:val="28"/>
          <w:lang w:val="uk-UA"/>
        </w:rPr>
        <w:t xml:space="preserve"> Національного бюро</w:t>
      </w:r>
      <w:r w:rsidR="00A82DCA">
        <w:rPr>
          <w:b/>
          <w:sz w:val="28"/>
          <w:szCs w:val="28"/>
          <w:lang w:val="uk-UA"/>
        </w:rPr>
        <w:t xml:space="preserve"> </w:t>
      </w:r>
      <w:r w:rsidR="002F19F1">
        <w:rPr>
          <w:b/>
          <w:sz w:val="28"/>
          <w:szCs w:val="28"/>
          <w:lang w:val="uk-UA"/>
        </w:rPr>
        <w:t>Другого</w:t>
      </w:r>
      <w:r w:rsidR="00A82DCA" w:rsidRPr="00A82DCA">
        <w:rPr>
          <w:b/>
          <w:sz w:val="28"/>
          <w:szCs w:val="28"/>
          <w:lang w:val="uk-UA"/>
        </w:rPr>
        <w:t xml:space="preserve"> відділу фінансових розслідувань </w:t>
      </w:r>
      <w:r w:rsidR="00A82DCA">
        <w:rPr>
          <w:b/>
          <w:sz w:val="28"/>
          <w:szCs w:val="28"/>
          <w:lang w:val="uk-UA"/>
        </w:rPr>
        <w:br/>
      </w:r>
      <w:r w:rsidR="00A82DCA" w:rsidRPr="00A82DCA">
        <w:rPr>
          <w:b/>
          <w:sz w:val="28"/>
          <w:szCs w:val="28"/>
          <w:lang w:val="uk-UA"/>
        </w:rPr>
        <w:t>Управління кримінального аналізу та фінансових</w:t>
      </w:r>
      <w:r w:rsidR="00A82DCA">
        <w:rPr>
          <w:b/>
          <w:sz w:val="28"/>
          <w:szCs w:val="28"/>
          <w:lang w:val="uk-UA"/>
        </w:rPr>
        <w:t xml:space="preserve"> </w:t>
      </w:r>
      <w:r w:rsidR="00A82DCA" w:rsidRPr="00A82DCA">
        <w:rPr>
          <w:b/>
          <w:sz w:val="28"/>
          <w:szCs w:val="28"/>
          <w:lang w:val="uk-UA"/>
        </w:rPr>
        <w:t>розслідувань</w:t>
      </w:r>
      <w:r w:rsidRPr="007D2029">
        <w:rPr>
          <w:b/>
          <w:sz w:val="28"/>
          <w:szCs w:val="28"/>
          <w:lang w:val="uk-UA"/>
        </w:rPr>
        <w:t>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7D202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1E2A" w:rsidRPr="007D2029" w:rsidRDefault="00031E2A" w:rsidP="00985B9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080BBA">
        <w:rPr>
          <w:b/>
          <w:sz w:val="28"/>
          <w:szCs w:val="28"/>
          <w:lang w:val="uk-UA"/>
        </w:rPr>
        <w:t xml:space="preserve">з наданням робочого місця у м. </w:t>
      </w:r>
      <w:r w:rsidR="002F19F1">
        <w:rPr>
          <w:b/>
          <w:sz w:val="28"/>
          <w:szCs w:val="28"/>
          <w:lang w:val="uk-UA"/>
        </w:rPr>
        <w:t>Одеса</w:t>
      </w:r>
      <w:r w:rsidRPr="0011338C">
        <w:rPr>
          <w:b/>
          <w:sz w:val="28"/>
          <w:szCs w:val="28"/>
          <w:lang w:val="uk-UA"/>
        </w:rPr>
        <w:t>)</w:t>
      </w:r>
    </w:p>
    <w:p w:rsidR="002A588C" w:rsidRPr="007D2029" w:rsidRDefault="002A588C" w:rsidP="00985B90">
      <w:pPr>
        <w:jc w:val="center"/>
        <w:rPr>
          <w:bCs/>
          <w:lang w:val="uk-UA"/>
        </w:rPr>
      </w:pPr>
    </w:p>
    <w:tbl>
      <w:tblPr>
        <w:tblW w:w="5072" w:type="pct"/>
        <w:tblLook w:val="00A0" w:firstRow="1" w:lastRow="0" w:firstColumn="1" w:lastColumn="0" w:noHBand="0" w:noVBand="0"/>
      </w:tblPr>
      <w:tblGrid>
        <w:gridCol w:w="4090"/>
        <w:gridCol w:w="5975"/>
      </w:tblGrid>
      <w:tr w:rsidR="00CE7C6B" w:rsidTr="00CE7C6B">
        <w:tc>
          <w:tcPr>
            <w:tcW w:w="4090" w:type="dxa"/>
          </w:tcPr>
          <w:p w:rsidR="00CE7C6B" w:rsidRDefault="00CE7C6B" w:rsidP="00794532">
            <w:pPr>
              <w:jc w:val="center"/>
              <w:rPr>
                <w:b/>
              </w:rPr>
            </w:pPr>
          </w:p>
        </w:tc>
        <w:tc>
          <w:tcPr>
            <w:tcW w:w="5975" w:type="dxa"/>
          </w:tcPr>
          <w:p w:rsidR="00CE7C6B" w:rsidRDefault="00CE7C6B" w:rsidP="00794532">
            <w:r>
              <w:t>ЗАТВЕРДЖУЮ</w:t>
            </w:r>
          </w:p>
        </w:tc>
      </w:tr>
      <w:tr w:rsidR="00CE7C6B" w:rsidRPr="00FE1130" w:rsidTr="00CE7C6B">
        <w:tc>
          <w:tcPr>
            <w:tcW w:w="4090" w:type="dxa"/>
          </w:tcPr>
          <w:p w:rsidR="00CE7C6B" w:rsidRDefault="00CE7C6B" w:rsidP="00794532">
            <w:pPr>
              <w:jc w:val="center"/>
            </w:pP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CE7C6B" w:rsidRPr="00FE1130" w:rsidRDefault="00CE7C6B" w:rsidP="00794532">
            <w:proofErr w:type="spellStart"/>
            <w:r w:rsidRPr="00FE1130">
              <w:t>Т.в.п</w:t>
            </w:r>
            <w:proofErr w:type="spellEnd"/>
            <w:r w:rsidRPr="00FE1130">
              <w:t xml:space="preserve">. Директора         </w:t>
            </w:r>
            <w:r w:rsidRPr="00FE1130">
              <w:rPr>
                <w:lang w:val="en-US"/>
              </w:rPr>
              <w:t xml:space="preserve">    </w:t>
            </w:r>
            <w:r w:rsidR="00FE1130">
              <w:rPr>
                <w:lang w:val="en-US"/>
              </w:rPr>
              <w:t xml:space="preserve">     </w:t>
            </w:r>
            <w:r w:rsidRPr="00FE1130">
              <w:t xml:space="preserve">Денис ГЮЛЬМАГОМЕДОВ </w:t>
            </w:r>
            <w:r w:rsidRPr="00FE1130">
              <w:rPr>
                <w:lang w:val="en-US"/>
              </w:rPr>
              <w:t xml:space="preserve">   </w:t>
            </w:r>
            <w:r w:rsidRPr="00FE1130">
              <w:t xml:space="preserve">  </w:t>
            </w:r>
          </w:p>
        </w:tc>
      </w:tr>
      <w:tr w:rsidR="00CE7C6B" w:rsidTr="00CE7C6B">
        <w:tc>
          <w:tcPr>
            <w:tcW w:w="4090" w:type="dxa"/>
          </w:tcPr>
          <w:p w:rsidR="00CE7C6B" w:rsidRDefault="00CE7C6B" w:rsidP="00794532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5975" w:type="dxa"/>
            <w:tcBorders>
              <w:top w:val="single" w:sz="4" w:space="0" w:color="auto"/>
            </w:tcBorders>
          </w:tcPr>
          <w:p w:rsidR="00CE7C6B" w:rsidRDefault="00CE7C6B" w:rsidP="0079453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(</w:t>
            </w:r>
            <w:proofErr w:type="spellStart"/>
            <w:r>
              <w:rPr>
                <w:sz w:val="18"/>
                <w:szCs w:val="28"/>
              </w:rPr>
              <w:t>найменування</w:t>
            </w:r>
            <w:proofErr w:type="spellEnd"/>
            <w:r>
              <w:rPr>
                <w:sz w:val="18"/>
                <w:szCs w:val="28"/>
              </w:rPr>
              <w:t xml:space="preserve"> посади, </w:t>
            </w:r>
            <w:proofErr w:type="spellStart"/>
            <w:r>
              <w:rPr>
                <w:sz w:val="18"/>
                <w:szCs w:val="28"/>
              </w:rPr>
              <w:t>ініціали</w:t>
            </w:r>
            <w:proofErr w:type="spellEnd"/>
            <w:r>
              <w:rPr>
                <w:sz w:val="18"/>
                <w:szCs w:val="28"/>
              </w:rPr>
              <w:t xml:space="preserve"> (</w:t>
            </w:r>
            <w:proofErr w:type="spellStart"/>
            <w:r>
              <w:rPr>
                <w:sz w:val="18"/>
                <w:szCs w:val="28"/>
              </w:rPr>
              <w:t>ім’я</w:t>
            </w:r>
            <w:proofErr w:type="spellEnd"/>
            <w:r>
              <w:rPr>
                <w:sz w:val="18"/>
                <w:szCs w:val="28"/>
              </w:rPr>
              <w:t xml:space="preserve">), </w:t>
            </w:r>
            <w:proofErr w:type="spellStart"/>
            <w:r>
              <w:rPr>
                <w:sz w:val="18"/>
                <w:szCs w:val="28"/>
              </w:rPr>
              <w:t>прізвище</w:t>
            </w:r>
            <w:proofErr w:type="spellEnd"/>
            <w:r>
              <w:rPr>
                <w:sz w:val="18"/>
                <w:szCs w:val="28"/>
              </w:rPr>
              <w:t xml:space="preserve"> та </w:t>
            </w:r>
            <w:proofErr w:type="spellStart"/>
            <w:r>
              <w:rPr>
                <w:sz w:val="18"/>
                <w:szCs w:val="28"/>
              </w:rPr>
              <w:t>підпис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керівника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державної</w:t>
            </w:r>
            <w:proofErr w:type="spellEnd"/>
            <w:r>
              <w:rPr>
                <w:sz w:val="18"/>
                <w:szCs w:val="28"/>
              </w:rPr>
              <w:t xml:space="preserve"> </w:t>
            </w:r>
            <w:proofErr w:type="spellStart"/>
            <w:r>
              <w:rPr>
                <w:sz w:val="18"/>
                <w:szCs w:val="28"/>
              </w:rPr>
              <w:t>служби</w:t>
            </w:r>
            <w:proofErr w:type="spellEnd"/>
            <w:r>
              <w:rPr>
                <w:sz w:val="18"/>
                <w:szCs w:val="28"/>
              </w:rPr>
              <w:t xml:space="preserve"> у державному </w:t>
            </w:r>
            <w:proofErr w:type="spellStart"/>
            <w:r>
              <w:rPr>
                <w:sz w:val="18"/>
                <w:szCs w:val="28"/>
              </w:rPr>
              <w:t>органі</w:t>
            </w:r>
            <w:proofErr w:type="spellEnd"/>
            <w:r>
              <w:rPr>
                <w:sz w:val="18"/>
                <w:szCs w:val="28"/>
              </w:rPr>
              <w:t>)</w:t>
            </w:r>
          </w:p>
          <w:p w:rsidR="00CE7C6B" w:rsidRDefault="00CE7C6B" w:rsidP="00794532">
            <w:pPr>
              <w:rPr>
                <w:sz w:val="18"/>
                <w:szCs w:val="28"/>
              </w:rPr>
            </w:pPr>
          </w:p>
        </w:tc>
      </w:tr>
      <w:tr w:rsidR="00CE7C6B" w:rsidTr="00CE7C6B">
        <w:tc>
          <w:tcPr>
            <w:tcW w:w="4090" w:type="dxa"/>
          </w:tcPr>
          <w:p w:rsidR="00CE7C6B" w:rsidRDefault="00CE7C6B" w:rsidP="00794532">
            <w:pPr>
              <w:jc w:val="center"/>
            </w:pPr>
          </w:p>
        </w:tc>
        <w:tc>
          <w:tcPr>
            <w:tcW w:w="5975" w:type="dxa"/>
          </w:tcPr>
          <w:p w:rsidR="00CE7C6B" w:rsidRDefault="00CE7C6B" w:rsidP="00D07090">
            <w:r>
              <w:t>«</w:t>
            </w:r>
            <w:r w:rsidR="00D07090">
              <w:rPr>
                <w:lang w:val="uk-UA"/>
              </w:rPr>
              <w:t>25</w:t>
            </w:r>
            <w:bookmarkStart w:id="0" w:name="_GoBack"/>
            <w:bookmarkEnd w:id="0"/>
            <w:r>
              <w:t xml:space="preserve">» </w:t>
            </w:r>
            <w:proofErr w:type="spellStart"/>
            <w:r>
              <w:t>березня</w:t>
            </w:r>
            <w:proofErr w:type="spellEnd"/>
            <w:r>
              <w:t xml:space="preserve"> 2025 року</w:t>
            </w:r>
          </w:p>
        </w:tc>
      </w:tr>
    </w:tbl>
    <w:p w:rsidR="00E07ABB" w:rsidRPr="007D2029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2A588C" w:rsidP="002A588C">
            <w:pPr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 xml:space="preserve">  </w:t>
            </w:r>
            <w:r w:rsidR="00E07ABB" w:rsidRPr="007D2029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7D202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</w:tcPr>
          <w:p w:rsidR="00FA500C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  <w:p w:rsidR="00E07ABB" w:rsidRPr="007D2029" w:rsidRDefault="00FA500C" w:rsidP="00FA500C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C014B">
              <w:rPr>
                <w:lang w:val="uk-UA"/>
              </w:rPr>
              <w:t>(далі – Національне бюро)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7D2029" w:rsidRDefault="002F19F1" w:rsidP="00A82DCA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Другий</w:t>
            </w:r>
            <w:r w:rsidR="00A82DCA" w:rsidRPr="00A82DCA">
              <w:rPr>
                <w:bCs/>
                <w:lang w:val="uk-UA"/>
              </w:rPr>
              <w:t xml:space="preserve"> відділ фінансових розслідувань Управління кримінального аналізу та фінансових розслідувань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7D2029" w:rsidRDefault="00E06E99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E07ABB" w:rsidRPr="007D2029">
              <w:rPr>
                <w:bCs/>
                <w:lang w:val="uk-UA"/>
              </w:rPr>
              <w:t>етектив Національного бюро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7D2029" w:rsidRDefault="00E07ABB" w:rsidP="00820A13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 xml:space="preserve">Категорія посади </w:t>
            </w:r>
          </w:p>
        </w:tc>
        <w:tc>
          <w:tcPr>
            <w:tcW w:w="5894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«В»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caps/>
                <w:lang w:val="uk-UA"/>
              </w:rPr>
            </w:pPr>
            <w:r w:rsidRPr="007D2029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7D2029" w:rsidRDefault="00FA500C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 w:rsidRPr="00D15494">
              <w:t xml:space="preserve">Забезпечення виконання покладених на Відділ завдань, визначених </w:t>
            </w:r>
            <w:r w:rsidRPr="00D15494">
              <w:rPr>
                <w:bCs/>
              </w:rPr>
              <w:t xml:space="preserve">Положенням про </w:t>
            </w:r>
            <w:r w:rsidRPr="00D15494">
              <w:t>Управління кримінального аналізу та фінансових розслідувань</w:t>
            </w:r>
            <w:r w:rsidRPr="00D15494">
              <w:rPr>
                <w:bCs/>
              </w:rPr>
              <w:t xml:space="preserve"> Національного бюро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985B90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здійснення, у межах компетенції, інформаційно-аналітичного забезпечення діяльності детективів Національного бюро з метою виявлення та усунення причин і умов, що сприяють вчиненню корупційних та інших кримінальних правопорушень, віднесених до підслідності Національного бюро, у бюджетній сфері та інших сферах державного управління</w:t>
            </w:r>
            <w:r w:rsidR="00985B90" w:rsidRPr="002D2427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встановлення корупційних та інших кримінальних правопорушень, віднесених до підслідності Національного бюро, встановлення інших подій, у тому числі шляхом використання інформації про державні закупівлі, рух товарно-матеріальних цінностей, казначейські операції, а також з використанням інформації з матеріалів кримінальних проваджень,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встановлення осіб, причетних до правопорушення, інших подій, а також встановлення зв’язків між особами, подіями, у тому числі шляхом використання даних (інформації) про представництво, </w:t>
            </w:r>
            <w:proofErr w:type="spellStart"/>
            <w:r w:rsidRPr="002D2427">
              <w:rPr>
                <w:rFonts w:ascii="Times New Roman" w:hAnsi="Times New Roman"/>
                <w:sz w:val="24"/>
                <w:szCs w:val="24"/>
              </w:rPr>
              <w:t>геопросторових</w:t>
            </w:r>
            <w:proofErr w:type="spellEnd"/>
            <w:r w:rsidRPr="002D2427">
              <w:rPr>
                <w:rFonts w:ascii="Times New Roman" w:hAnsi="Times New Roman"/>
                <w:sz w:val="24"/>
                <w:szCs w:val="24"/>
              </w:rPr>
              <w:t xml:space="preserve"> даних, надання телекомунікаційних послуг, інформації з відкритих джерел та іншої інформації з джерел інформаційного пошуку;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оцінка можливого розміру шкоди, збитків внаслідок вчинення корупційних та інших кримінальних правопорушень, віднесених до підслідності Національного бюро;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розшук та арешт коштів та іншого майна, які можуть бути предметом конфіскації або спеціальної </w:t>
            </w:r>
            <w:r w:rsidRPr="002D24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конфіскації у корупційних та інших кримінальних правопорушеннях, віднесених до підслідності Національного бюро, а також інших правопорушень, у тому числі шляхом використання інформації про банківські операції, операції з цінними паперами, реєстрацію рухомого та нерухомого майна, обтяження рухомого та нерухомого майна, представництво, зовнішньоекономічні операції, рух товарно-матеріальних цінностей, реєстрацію податкових та акцизних накладних, з матеріалів кримінальних проваджень, інформації з відкритих джерел та іншої інформації з джерел інформаційного пошуку; 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виявлення необґрунтованих активів;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проведенні слідчих та процесуальних дій як спеціаліст з питань, що потребують відповідних спеціальних знань і навичок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D2427" w:rsidRPr="002D2427" w:rsidRDefault="002D2427" w:rsidP="002D2427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участь у заходах, спрямованих на удосконалення аналітичного забезпечення оперативно-розшукової діяльності та досудового слідства Національного бюро, аналізу та прогнозування розвитку оперативної обстановки у сфері боротьби з корупцією;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2D2427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2D242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2D2427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2D2427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D2427">
              <w:rPr>
                <w:rFonts w:ascii="Times New Roman" w:hAnsi="Times New Roman"/>
                <w:sz w:val="24"/>
                <w:szCs w:val="24"/>
              </w:rPr>
              <w:t>вик</w:t>
            </w:r>
            <w:r w:rsidR="009D6EB7">
              <w:rPr>
                <w:rFonts w:ascii="Times New Roman" w:hAnsi="Times New Roman"/>
                <w:sz w:val="24"/>
                <w:szCs w:val="24"/>
              </w:rPr>
              <w:t>онання інших службових доручень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7D2029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  <w:r w:rsidRPr="007D2029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7D2029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В</w:t>
            </w:r>
            <w:r w:rsidR="005461ED" w:rsidRPr="007D2029">
              <w:rPr>
                <w:lang w:val="uk-UA"/>
              </w:rPr>
              <w:t>ища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7D2029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7D2029" w:rsidRDefault="005461ED" w:rsidP="00A6564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Магістр (спеціаліст</w:t>
            </w:r>
            <w:r w:rsidRPr="00821A9B">
              <w:rPr>
                <w:lang w:val="uk-UA"/>
              </w:rPr>
              <w:t xml:space="preserve">), бакалавр (дипломований </w:t>
            </w:r>
            <w:r w:rsidR="00A6564D">
              <w:rPr>
                <w:lang w:val="uk-UA"/>
              </w:rPr>
              <w:t>з</w:t>
            </w:r>
            <w:r w:rsidRPr="00821A9B">
              <w:rPr>
                <w:lang w:val="uk-UA"/>
              </w:rPr>
              <w:t xml:space="preserve"> </w:t>
            </w:r>
            <w:r w:rsidR="006F0FB3" w:rsidRPr="00821A9B">
              <w:rPr>
                <w:lang w:val="uk-UA"/>
              </w:rPr>
              <w:t xml:space="preserve">                       </w:t>
            </w:r>
            <w:r w:rsidRPr="00821A9B">
              <w:rPr>
                <w:lang w:val="uk-UA"/>
              </w:rPr>
              <w:t>201</w:t>
            </w:r>
            <w:r w:rsidR="00354099" w:rsidRPr="00821A9B">
              <w:rPr>
                <w:lang w:val="uk-UA"/>
              </w:rPr>
              <w:t>6</w:t>
            </w:r>
            <w:r w:rsidRPr="00821A9B">
              <w:rPr>
                <w:lang w:val="uk-UA"/>
              </w:rPr>
              <w:t xml:space="preserve"> року)</w:t>
            </w:r>
          </w:p>
        </w:tc>
      </w:tr>
      <w:tr w:rsidR="00F30CC5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F30CC5" w:rsidRPr="00C146FA" w:rsidRDefault="00F30CC5" w:rsidP="00F30CC5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F30CC5" w:rsidRPr="00C146FA" w:rsidRDefault="00F30CC5" w:rsidP="00F30CC5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F30CC5" w:rsidRDefault="00F30CC5" w:rsidP="00F30CC5">
            <w:r>
              <w:t xml:space="preserve">Стаж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тривалістю</w:t>
            </w:r>
            <w:proofErr w:type="spellEnd"/>
            <w:r>
              <w:t xml:space="preserve"> не </w:t>
            </w:r>
            <w:proofErr w:type="spellStart"/>
            <w:r>
              <w:t>менше</w:t>
            </w:r>
            <w:proofErr w:type="spellEnd"/>
            <w:r>
              <w:t xml:space="preserve"> </w:t>
            </w:r>
            <w:r>
              <w:rPr>
                <w:lang w:val="uk-UA"/>
              </w:rPr>
              <w:t>одного</w:t>
            </w:r>
            <w:r>
              <w:t xml:space="preserve"> рок</w:t>
            </w:r>
            <w:r>
              <w:rPr>
                <w:lang w:val="uk-UA"/>
              </w:rPr>
              <w:t>у</w:t>
            </w:r>
            <w:r>
              <w:t xml:space="preserve"> </w:t>
            </w:r>
            <w:r>
              <w:rPr>
                <w:lang w:val="uk-UA"/>
              </w:rPr>
              <w:t xml:space="preserve">на посадах, пов’язаних з </w:t>
            </w:r>
            <w:proofErr w:type="spellStart"/>
            <w:r>
              <w:t>одні</w:t>
            </w:r>
            <w:r>
              <w:rPr>
                <w:lang w:val="uk-UA"/>
              </w:rPr>
              <w:t>єю</w:t>
            </w:r>
            <w:proofErr w:type="spellEnd"/>
            <w:r>
              <w:t xml:space="preserve"> з </w:t>
            </w:r>
            <w:proofErr w:type="spellStart"/>
            <w:r>
              <w:t>наступних</w:t>
            </w:r>
            <w:proofErr w:type="spellEnd"/>
            <w:r>
              <w:t xml:space="preserve"> сфер:</w:t>
            </w:r>
          </w:p>
          <w:p w:rsidR="00F30CC5" w:rsidRPr="002343D2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t>аудиту;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ревізії</w:t>
            </w:r>
            <w:r>
              <w:rPr>
                <w:lang w:val="en-US"/>
              </w:rPr>
              <w:t>;</w:t>
            </w:r>
          </w:p>
          <w:p w:rsidR="00F30CC5" w:rsidRPr="002343D2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ризиками</w:t>
            </w:r>
            <w:proofErr w:type="spellEnd"/>
            <w: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фінансового та кредитного аналізу</w:t>
            </w:r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бухгалтерського обліку та фінансової звітності</w:t>
            </w:r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податкового обліку та звітності</w:t>
            </w:r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rPr>
                <w:lang w:val="uk-UA"/>
              </w:rPr>
              <w:t>податкового контролю</w:t>
            </w:r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фінансового моніторингу та валютного контролю</w:t>
            </w:r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proofErr w:type="spellStart"/>
            <w:r w:rsidRPr="00C146FA">
              <w:rPr>
                <w:lang w:val="uk-UA"/>
              </w:rPr>
              <w:t>комплаєнсу</w:t>
            </w:r>
            <w:proofErr w:type="spellEnd"/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митного контролю та митного оформлення</w:t>
            </w:r>
            <w:r>
              <w:rPr>
                <w:lang w:val="en-US"/>
              </w:rP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 w:rsidRPr="00C146FA">
              <w:rPr>
                <w:lang w:val="uk-UA"/>
              </w:rPr>
              <w:t>обігу цінних паперів</w:t>
            </w:r>
            <w:r>
              <w:rPr>
                <w:lang w:val="en-US"/>
              </w:rPr>
              <w:t>;</w:t>
            </w:r>
          </w:p>
          <w:p w:rsidR="00F30CC5" w:rsidRPr="002343D2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t xml:space="preserve">системного та </w:t>
            </w:r>
            <w:proofErr w:type="spellStart"/>
            <w:r>
              <w:t>бізнес-аналізу</w:t>
            </w:r>
            <w:proofErr w:type="spellEnd"/>
            <w:r>
              <w:t>;</w:t>
            </w:r>
          </w:p>
          <w:p w:rsidR="00F30CC5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r>
              <w:rPr>
                <w:lang w:val="uk-UA"/>
              </w:rPr>
              <w:t>аналітики великих даних;</w:t>
            </w:r>
          </w:p>
          <w:p w:rsidR="00F30CC5" w:rsidRPr="0031358E" w:rsidRDefault="00F30CC5" w:rsidP="00F30CC5">
            <w:pPr>
              <w:pStyle w:val="a5"/>
              <w:numPr>
                <w:ilvl w:val="1"/>
                <w:numId w:val="9"/>
              </w:numPr>
              <w:ind w:left="271" w:hanging="141"/>
              <w:rPr>
                <w:lang w:val="en-US"/>
              </w:rPr>
            </w:pPr>
            <w:proofErr w:type="spellStart"/>
            <w:r>
              <w:t>корпоративної</w:t>
            </w:r>
            <w:proofErr w:type="spellEnd"/>
            <w:r>
              <w:t xml:space="preserve"> (</w:t>
            </w:r>
            <w:proofErr w:type="spellStart"/>
            <w:r>
              <w:t>економічної</w:t>
            </w:r>
            <w:proofErr w:type="spellEnd"/>
            <w:r>
              <w:t xml:space="preserve">) </w:t>
            </w:r>
            <w:proofErr w:type="spellStart"/>
            <w:r>
              <w:t>розвідки</w:t>
            </w:r>
            <w:proofErr w:type="spellEnd"/>
            <w:r w:rsidRPr="0031358E">
              <w:rPr>
                <w:lang w:val="uk-UA"/>
              </w:rPr>
              <w:t>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C146FA" w:rsidDel="00E7634A" w:rsidRDefault="00E07ABB" w:rsidP="00820A13">
            <w:pPr>
              <w:rPr>
                <w:lang w:val="uk-UA"/>
              </w:rPr>
            </w:pPr>
            <w:r w:rsidRPr="00C146FA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C146FA" w:rsidRDefault="00E07ABB" w:rsidP="00820A13">
            <w:pPr>
              <w:jc w:val="both"/>
              <w:rPr>
                <w:lang w:val="uk-UA"/>
              </w:rPr>
            </w:pPr>
            <w:r w:rsidRPr="00C146FA">
              <w:rPr>
                <w:lang w:val="uk-UA"/>
              </w:rPr>
              <w:t>Вільне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1.4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lang w:val="uk-UA"/>
              </w:rPr>
            </w:pPr>
            <w:r w:rsidRPr="00C146FA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C146FA" w:rsidRDefault="009B0708" w:rsidP="001132C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Intermediate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>
              <w:rPr>
                <w:lang w:val="uk-UA"/>
              </w:rPr>
              <w:t>2) та вище є додатковою перевагою.</w:t>
            </w:r>
          </w:p>
        </w:tc>
      </w:tr>
      <w:tr w:rsidR="009D51F0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9D51F0" w:rsidRPr="007D2029" w:rsidRDefault="009D51F0" w:rsidP="009D51F0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9D51F0" w:rsidRPr="007D2029" w:rsidRDefault="009D51F0" w:rsidP="009D51F0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0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F06EC8" w:rsidRPr="006F0FB3" w:rsidRDefault="00F06EC8" w:rsidP="00F06EC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6F0FB3">
              <w:rPr>
                <w:lang w:val="uk-UA"/>
              </w:rPr>
              <w:t>ризначення</w:t>
            </w:r>
            <w:r>
              <w:rPr>
                <w:lang w:val="uk-UA"/>
              </w:rPr>
              <w:t xml:space="preserve"> на безстроковий період</w:t>
            </w:r>
            <w:r w:rsidRPr="006F0FB3">
              <w:rPr>
                <w:lang w:val="uk-UA"/>
              </w:rPr>
              <w:t>.</w:t>
            </w:r>
          </w:p>
          <w:p w:rsidR="009D51F0" w:rsidRPr="007D2029" w:rsidRDefault="00F06EC8" w:rsidP="00F06EC8">
            <w:pPr>
              <w:jc w:val="both"/>
              <w:rPr>
                <w:highlight w:val="yellow"/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7D2029" w:rsidTr="006F0FB3">
        <w:tc>
          <w:tcPr>
            <w:tcW w:w="10263" w:type="dxa"/>
            <w:gridSpan w:val="5"/>
          </w:tcPr>
          <w:p w:rsidR="00E07ABB" w:rsidRPr="007D2029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7D2029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C146FA" w:rsidRPr="00C146FA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jc w:val="both"/>
              <w:rPr>
                <w:caps/>
                <w:lang w:val="uk-UA"/>
              </w:rPr>
            </w:pPr>
            <w:r w:rsidRPr="00C146F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C146FA" w:rsidRDefault="009555B0" w:rsidP="009D6EB7">
            <w:pPr>
              <w:jc w:val="both"/>
              <w:rPr>
                <w:lang w:val="uk-UA"/>
              </w:rPr>
            </w:pPr>
            <w:r w:rsidRPr="009555B0">
              <w:rPr>
                <w:rStyle w:val="rvts0"/>
                <w:lang w:val="uk-UA"/>
              </w:rPr>
              <w:t>Соціальні науки, журналістика, інформація та міжнародні відносини</w:t>
            </w:r>
            <w:r w:rsidR="00CF3B2B" w:rsidRPr="00C146FA">
              <w:rPr>
                <w:rStyle w:val="rvts0"/>
                <w:lang w:val="uk-UA"/>
              </w:rPr>
              <w:t xml:space="preserve"> </w:t>
            </w:r>
            <w:r w:rsidR="00CF3B2B" w:rsidRPr="00C146FA">
              <w:rPr>
                <w:lang w:val="uk-UA"/>
              </w:rPr>
              <w:t>(</w:t>
            </w:r>
            <w:r w:rsidR="004E1A8E" w:rsidRPr="004E1A8E">
              <w:rPr>
                <w:lang w:val="uk-UA"/>
              </w:rPr>
              <w:t>Економіка та міжнародні економічні відносини</w:t>
            </w:r>
            <w:r w:rsidR="00602921" w:rsidRPr="00C146FA">
              <w:rPr>
                <w:lang w:val="uk-UA"/>
              </w:rPr>
              <w:t>, Міжнародні відносини</w:t>
            </w:r>
            <w:r w:rsidR="00CF3B2B" w:rsidRPr="00C146FA">
              <w:rPr>
                <w:lang w:val="uk-UA"/>
              </w:rPr>
              <w:t xml:space="preserve">); </w:t>
            </w:r>
            <w:r w:rsidR="00CF3B2B" w:rsidRPr="00C146FA">
              <w:rPr>
                <w:rStyle w:val="rvts0"/>
                <w:lang w:val="uk-UA"/>
              </w:rPr>
              <w:t>Бізнес, адміністрування та право (Облік і оподаткування</w:t>
            </w:r>
            <w:r w:rsidR="00602921" w:rsidRPr="00C146FA">
              <w:rPr>
                <w:rStyle w:val="rvts0"/>
                <w:lang w:val="uk-UA"/>
              </w:rPr>
              <w:t>;</w:t>
            </w:r>
            <w:r w:rsidR="00CF3B2B" w:rsidRPr="00C146FA">
              <w:rPr>
                <w:rStyle w:val="rvts0"/>
                <w:lang w:val="uk-UA"/>
              </w:rPr>
              <w:t xml:space="preserve"> Фінанси, банківська справа, страхування та фондовий ринок</w:t>
            </w:r>
            <w:r w:rsidR="00602921" w:rsidRPr="00C146FA">
              <w:rPr>
                <w:rStyle w:val="rvts0"/>
                <w:lang w:val="uk-UA"/>
              </w:rPr>
              <w:t>;</w:t>
            </w:r>
            <w:r w:rsidR="00CF3B2B" w:rsidRPr="00C146FA">
              <w:rPr>
                <w:rStyle w:val="rvts0"/>
                <w:lang w:val="uk-UA"/>
              </w:rPr>
              <w:t xml:space="preserve"> </w:t>
            </w:r>
            <w:r w:rsidR="00F6489C" w:rsidRPr="00C146FA">
              <w:rPr>
                <w:rStyle w:val="rvts0"/>
                <w:lang w:val="uk-UA"/>
              </w:rPr>
              <w:t>Менеджмент</w:t>
            </w:r>
            <w:r w:rsidR="009D6EB7" w:rsidRPr="00C146FA">
              <w:rPr>
                <w:rStyle w:val="rvts0"/>
                <w:lang w:val="uk-UA"/>
              </w:rPr>
              <w:t>; Маркетинг)</w:t>
            </w:r>
          </w:p>
        </w:tc>
      </w:tr>
      <w:tr w:rsidR="00C146FA" w:rsidRPr="00C146FA" w:rsidTr="006F0FB3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caps/>
                <w:lang w:val="uk-UA"/>
              </w:rPr>
            </w:pPr>
            <w:r w:rsidRPr="00C146FA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33" w:type="dxa"/>
            <w:gridSpan w:val="2"/>
          </w:tcPr>
          <w:p w:rsidR="00E07ABB" w:rsidRDefault="009B0708" w:rsidP="009B0708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4A1408">
              <w:rPr>
                <w:shd w:val="clear" w:color="auto" w:fill="FFFFFF"/>
                <w:lang w:val="uk-UA"/>
              </w:rPr>
              <w:t xml:space="preserve">Досвід роботи у сфері кримінального аналізу, </w:t>
            </w:r>
            <w:r w:rsidRPr="004A1408">
              <w:rPr>
                <w:shd w:val="clear" w:color="auto" w:fill="FFFFFF"/>
                <w:lang w:val="en-US"/>
              </w:rPr>
              <w:t>OSINT</w:t>
            </w:r>
            <w:r w:rsidRPr="004A1408">
              <w:t xml:space="preserve"> 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shd w:val="clear" w:color="auto" w:fill="FFFFFF"/>
              </w:rPr>
              <w:t>Open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Source</w:t>
            </w:r>
            <w:proofErr w:type="spellEnd"/>
            <w:r>
              <w:rPr>
                <w:shd w:val="clear" w:color="auto" w:fill="FFFFFF"/>
              </w:rPr>
              <w:t xml:space="preserve"> I</w:t>
            </w:r>
            <w:proofErr w:type="spellStart"/>
            <w:r>
              <w:rPr>
                <w:shd w:val="clear" w:color="auto" w:fill="FFFFFF"/>
                <w:lang w:val="en-US"/>
              </w:rPr>
              <w:t>nt</w:t>
            </w:r>
            <w:r w:rsidRPr="004A1408">
              <w:rPr>
                <w:shd w:val="clear" w:color="auto" w:fill="FFFFFF"/>
              </w:rPr>
              <w:t>elligence</w:t>
            </w:r>
            <w:proofErr w:type="spellEnd"/>
            <w:r w:rsidRPr="004A1408">
              <w:rPr>
                <w:shd w:val="clear" w:color="auto" w:fill="FFFFFF"/>
              </w:rPr>
              <w:t>)</w:t>
            </w:r>
            <w:r w:rsidRPr="004A1408">
              <w:rPr>
                <w:shd w:val="clear" w:color="auto" w:fill="FFFFFF"/>
                <w:lang w:val="uk-UA"/>
              </w:rPr>
              <w:t xml:space="preserve"> є перевагою.</w:t>
            </w:r>
          </w:p>
          <w:p w:rsidR="008A173E" w:rsidRPr="00C146FA" w:rsidRDefault="008A173E" w:rsidP="009B0708">
            <w:pPr>
              <w:tabs>
                <w:tab w:val="left" w:pos="327"/>
              </w:tabs>
              <w:jc w:val="both"/>
              <w:rPr>
                <w:lang w:val="uk-UA"/>
              </w:rPr>
            </w:pP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lang w:val="uk-UA"/>
              </w:rPr>
              <w:br w:type="page"/>
            </w:r>
            <w:r w:rsidRPr="007D2029">
              <w:rPr>
                <w:lang w:val="uk-UA"/>
              </w:rPr>
              <w:br w:type="page"/>
            </w:r>
            <w:r w:rsidRPr="007D2029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121F1F" w:rsidRPr="001C2B4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Конституція України;</w:t>
            </w:r>
          </w:p>
          <w:p w:rsidR="00121F1F" w:rsidRPr="001C2B4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4F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Податковий кодекс України;</w:t>
            </w:r>
          </w:p>
          <w:p w:rsidR="00121F1F" w:rsidRPr="001C2B4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Кримінальний процесуальний кодекс </w:t>
            </w:r>
            <w:r w:rsidRPr="001C2B4F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1F1F" w:rsidRPr="0083495A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95A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121F1F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602921" w:rsidRDefault="00121F1F" w:rsidP="00121F1F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Закон України «Про управління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об’єктами державної власності».</w:t>
            </w:r>
          </w:p>
        </w:tc>
      </w:tr>
      <w:tr w:rsidR="00985B90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7D2029" w:rsidRDefault="00985B90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2.4</w:t>
            </w:r>
          </w:p>
        </w:tc>
        <w:tc>
          <w:tcPr>
            <w:tcW w:w="3415" w:type="dxa"/>
          </w:tcPr>
          <w:p w:rsidR="00985B90" w:rsidRPr="007D2029" w:rsidRDefault="00985B90" w:rsidP="00985B90">
            <w:pPr>
              <w:rPr>
                <w:lang w:val="uk-UA"/>
              </w:rPr>
            </w:pPr>
            <w:r w:rsidRPr="007D202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збору та аналізу інформації, підготовки аналітичної документації;</w:t>
            </w:r>
          </w:p>
          <w:p w:rsidR="00FE31FC" w:rsidRPr="00180F0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працювати з великими масивами інформації;</w:t>
            </w:r>
          </w:p>
          <w:p w:rsidR="00FE31FC" w:rsidRPr="00180F0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принципів аналізу фінансово-господарської діяльності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звітності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1FC" w:rsidRPr="00180F0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бухгалтерського обліку та аудиту,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регламентації бізнес-процесів;</w:t>
            </w:r>
          </w:p>
          <w:p w:rsidR="00FE31FC" w:rsidRPr="00213729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досконале знання державної мови</w:t>
            </w:r>
            <w:r w:rsidRPr="0021372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21A9B" w:rsidRDefault="00FE31FC" w:rsidP="00FE31F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норм службової, професійної етики та загальн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ів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службової поведінки державних службовців.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ініціативність;</w:t>
            </w:r>
          </w:p>
          <w:p w:rsidR="00FE31FC" w:rsidRPr="00F27D13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вирішенні складних завдань;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вміння брати на себе відповідальність.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орієнтація на результат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і прогнозування наслідків рішень, що приймаються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здатність аналізувати багаторівневу інформацію;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системне мислення.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FE31FC" w:rsidRPr="001025AB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комунікабельність;</w:t>
            </w:r>
          </w:p>
          <w:p w:rsidR="00FE31FC" w:rsidRPr="00A216F1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 xml:space="preserve">вміння надавати зворотний зв'язок. </w:t>
            </w:r>
          </w:p>
          <w:p w:rsidR="00FE31FC" w:rsidRPr="00A216F1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FE31FC" w:rsidRPr="00A216F1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t>вміння запобігати та розв’язувати конфлікти;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216F1">
              <w:rPr>
                <w:rFonts w:ascii="Times New Roman" w:hAnsi="Times New Roman"/>
                <w:sz w:val="24"/>
                <w:szCs w:val="24"/>
              </w:rPr>
              <w:lastRenderedPageBreak/>
              <w:t>ефективна співпраця з коле</w:t>
            </w:r>
            <w:r w:rsidRPr="00EF5A3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гами.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lastRenderedPageBreak/>
              <w:t>2.8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FE31FC" w:rsidRPr="00C8344F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>вміння вирішувати комплексні завдання;</w:t>
            </w:r>
          </w:p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8344F">
              <w:rPr>
                <w:rFonts w:ascii="Times New Roman" w:hAnsi="Times New Roman"/>
                <w:sz w:val="24"/>
                <w:szCs w:val="24"/>
              </w:rPr>
              <w:t xml:space="preserve">здатність працювати в декількох </w:t>
            </w:r>
            <w:proofErr w:type="spellStart"/>
            <w:r w:rsidRPr="00C8344F">
              <w:rPr>
                <w:rFonts w:ascii="Times New Roman" w:hAnsi="Times New Roman"/>
                <w:sz w:val="24"/>
                <w:szCs w:val="24"/>
              </w:rPr>
              <w:t>проєктах</w:t>
            </w:r>
            <w:proofErr w:type="spellEnd"/>
            <w:r w:rsidRPr="00C8344F">
              <w:rPr>
                <w:rFonts w:ascii="Times New Roman" w:hAnsi="Times New Roman"/>
                <w:sz w:val="24"/>
                <w:szCs w:val="24"/>
              </w:rPr>
              <w:t xml:space="preserve"> одночасно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E07ABB" w:rsidRPr="007D2029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виконання службових обов’язків з урахуванням специфіки, інтенсивності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C519F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особливого характеру роботи, фізичних та інтелектуальних затрат.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5461ED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FE31FC" w:rsidRPr="00266FF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 xml:space="preserve">вміння працювати в команді; </w:t>
            </w:r>
          </w:p>
          <w:p w:rsidR="00FE31FC" w:rsidRPr="00266FF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ефективної координації з іншими;</w:t>
            </w:r>
          </w:p>
          <w:p w:rsidR="00E07ABB" w:rsidRPr="00821A9B" w:rsidRDefault="00FE31FC" w:rsidP="00FE31FC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вміння ділитися новим знаннями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lang w:val="uk-UA"/>
              </w:rPr>
            </w:pPr>
            <w:r w:rsidRPr="00C146FA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FE31FC" w:rsidRPr="00266FFD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адаптація до змін і прийняття нових підходів у вирішенні завдань;</w:t>
            </w:r>
          </w:p>
          <w:p w:rsidR="00E07ABB" w:rsidRPr="00C146FA" w:rsidRDefault="00FE31FC" w:rsidP="00FE31F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66FFD">
              <w:rPr>
                <w:rFonts w:ascii="Times New Roman" w:hAnsi="Times New Roman"/>
                <w:sz w:val="24"/>
                <w:szCs w:val="24"/>
              </w:rPr>
              <w:t>стійкість до стресу.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C146FA" w:rsidRDefault="00985B90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C146FA" w:rsidRDefault="00985B90" w:rsidP="00985B90">
            <w:pPr>
              <w:rPr>
                <w:lang w:val="uk-UA"/>
              </w:rPr>
            </w:pPr>
            <w:r w:rsidRPr="00C146FA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FE31FC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AB">
              <w:rPr>
                <w:rFonts w:ascii="Times New Roman" w:hAnsi="Times New Roman"/>
                <w:sz w:val="24"/>
                <w:szCs w:val="24"/>
              </w:rPr>
              <w:t>знання комп’ютерної техні</w:t>
            </w:r>
            <w:r>
              <w:rPr>
                <w:rFonts w:ascii="Times New Roman" w:hAnsi="Times New Roman"/>
                <w:sz w:val="24"/>
                <w:szCs w:val="24"/>
              </w:rPr>
              <w:t>ки та програмного забезпечення</w:t>
            </w:r>
            <w:r w:rsidRPr="001025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досвідчений користувач </w:t>
            </w:r>
            <w:hyperlink r:id="rId5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 xml:space="preserve">Word та </w:t>
            </w:r>
            <w:hyperlink r:id="rId6" w:history="1">
              <w:r w:rsidRPr="00351AD5">
                <w:rPr>
                  <w:rFonts w:ascii="Times New Roman" w:hAnsi="Times New Roman"/>
                  <w:sz w:val="24"/>
                  <w:szCs w:val="24"/>
                </w:rPr>
                <w:t>Microsoft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AD5">
              <w:rPr>
                <w:rFonts w:ascii="Times New Roman" w:hAnsi="Times New Roman"/>
                <w:sz w:val="24"/>
                <w:szCs w:val="24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C146FA" w:rsidRDefault="00F12EA8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додатковою </w:t>
            </w:r>
            <w:r w:rsidRPr="00FE31FC">
              <w:rPr>
                <w:rFonts w:ascii="Times New Roman" w:hAnsi="Times New Roman"/>
                <w:sz w:val="24"/>
                <w:szCs w:val="24"/>
              </w:rPr>
              <w:t>перевагою</w:t>
            </w:r>
            <w:r w:rsidRPr="00C146F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є досвід роботи з</w:t>
            </w:r>
            <w:r w:rsidR="009D6EB7" w:rsidRPr="00C146FA">
              <w:rPr>
                <w:rFonts w:ascii="Times New Roman" w:hAnsi="Times New Roman"/>
                <w:sz w:val="24"/>
                <w:szCs w:val="24"/>
              </w:rPr>
              <w:t xml:space="preserve"> Access, SQL</w:t>
            </w:r>
            <w:r w:rsidR="00FE31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C146FA" w:rsidRDefault="00E07ABB" w:rsidP="005461ED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C146FA" w:rsidRDefault="00E07ABB" w:rsidP="00820A13">
            <w:pPr>
              <w:rPr>
                <w:lang w:val="uk-UA"/>
              </w:rPr>
            </w:pPr>
            <w:r w:rsidRPr="00C146FA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логічне мислення;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уважність до деталей;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самоорганізація та орієнтація на розвиток;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чесність та дисциплінованість;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FE31FC" w:rsidRPr="00116925" w:rsidRDefault="00FE31FC" w:rsidP="00FE31FC">
            <w:pPr>
              <w:pStyle w:val="20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E07ABB" w:rsidRPr="00C146FA" w:rsidRDefault="00FE31FC" w:rsidP="00FE31FC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16925">
              <w:rPr>
                <w:rFonts w:ascii="Times New Roman" w:hAnsi="Times New Roman"/>
                <w:sz w:val="24"/>
                <w:szCs w:val="24"/>
              </w:rPr>
              <w:t>відповідальності за доручену справу.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7D2029" w:rsidRDefault="00E07ABB" w:rsidP="00DE3A0C">
            <w:pPr>
              <w:jc w:val="center"/>
              <w:rPr>
                <w:b/>
                <w:caps/>
                <w:lang w:val="uk-UA"/>
              </w:rPr>
            </w:pPr>
            <w:r w:rsidRPr="007D2029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7D2029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029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E07ABB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7D2029" w:rsidRDefault="00E07ABB" w:rsidP="00820A13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7D2029" w:rsidRDefault="00E07ABB" w:rsidP="00820A13">
            <w:pPr>
              <w:rPr>
                <w:lang w:val="uk-UA"/>
              </w:rPr>
            </w:pPr>
            <w:r w:rsidRPr="007D202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Pr="007D2029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7" w:history="1">
              <w:r w:rsidRPr="007D2029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Pr="007D2029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7D2029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7D202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F12EA8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F12EA8" w:rsidRPr="007D2029" w:rsidRDefault="00F12EA8" w:rsidP="00F12EA8">
            <w:pPr>
              <w:rPr>
                <w:lang w:val="uk-UA"/>
              </w:rPr>
            </w:pPr>
            <w:r w:rsidRPr="007D2029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F12EA8" w:rsidRPr="00AC4FAF" w:rsidRDefault="00F12EA8" w:rsidP="00BE1045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 xml:space="preserve">1) заява, підписана електронним підписом, про участь </w:t>
            </w:r>
            <w:r w:rsidRPr="00AC4FAF">
              <w:br/>
              <w:t>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F12EA8" w:rsidRPr="00AC4FAF" w:rsidRDefault="00F12EA8" w:rsidP="00BE1045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F12EA8" w:rsidRPr="00AC4FAF" w:rsidRDefault="00F12EA8" w:rsidP="00BE1045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12EA8" w:rsidRPr="00AC4FAF" w:rsidRDefault="00F12EA8" w:rsidP="00BE1045">
            <w:pPr>
              <w:pStyle w:val="11"/>
              <w:widowControl w:val="0"/>
              <w:shd w:val="clear" w:color="auto" w:fill="FFFFFF" w:themeFill="background1"/>
              <w:spacing w:after="120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>
              <w:rPr>
                <w:rFonts w:cs="Times New Roman"/>
                <w:szCs w:val="24"/>
                <w:lang w:val="uk-UA"/>
              </w:rPr>
              <w:t xml:space="preserve">4) </w:t>
            </w:r>
            <w:r w:rsidRPr="00AC4FAF">
              <w:rPr>
                <w:rFonts w:cs="Times New Roman"/>
                <w:szCs w:val="24"/>
                <w:lang w:val="uk-UA"/>
              </w:rPr>
              <w:t xml:space="preserve">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12EA8" w:rsidRPr="00AC4FAF" w:rsidRDefault="00F12EA8" w:rsidP="00BE1045">
            <w:pPr>
              <w:pStyle w:val="a7"/>
              <w:widowControl w:val="0"/>
              <w:shd w:val="clear" w:color="auto" w:fill="FFFFFF" w:themeFill="background1"/>
              <w:spacing w:before="0" w:beforeAutospacing="0" w:after="120" w:afterAutospacing="0"/>
              <w:jc w:val="both"/>
            </w:pPr>
            <w:r w:rsidRPr="00AC4FAF">
              <w:t xml:space="preserve"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</w:t>
            </w:r>
            <w:r w:rsidRPr="00AC4FAF">
              <w:lastRenderedPageBreak/>
              <w:t>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F12EA8" w:rsidRPr="00AC4FAF" w:rsidRDefault="00F12EA8" w:rsidP="00BE1045">
            <w:pPr>
              <w:pStyle w:val="11"/>
              <w:widowControl w:val="0"/>
              <w:shd w:val="clear" w:color="auto" w:fill="FFFFFF" w:themeFill="background1"/>
              <w:spacing w:after="120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Надіслана особою, яка бажає взяти участь </w:t>
            </w:r>
            <w:r w:rsidRPr="00AC4FAF">
              <w:rPr>
                <w:rFonts w:cs="Times New Roman"/>
                <w:szCs w:val="24"/>
                <w:lang w:val="uk-UA"/>
              </w:rPr>
              <w:br/>
              <w:t>у конкурсі, лише заява або резюме не реєструється як вхідний документ та повертається на зворотну адресу запитувача із зазначенням відповідних коментарів.</w:t>
            </w:r>
          </w:p>
          <w:p w:rsidR="00F12EA8" w:rsidRPr="00AC4FAF" w:rsidRDefault="00F12EA8" w:rsidP="00BE1045">
            <w:pPr>
              <w:pStyle w:val="11"/>
              <w:widowControl w:val="0"/>
              <w:shd w:val="clear" w:color="auto" w:fill="FFFFFF" w:themeFill="background1"/>
              <w:spacing w:after="120"/>
              <w:ind w:left="11" w:firstLine="438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«АСКОД».</w:t>
            </w:r>
          </w:p>
          <w:p w:rsidR="00F12EA8" w:rsidRPr="00BE1045" w:rsidRDefault="00F12EA8" w:rsidP="00BE1045">
            <w:pPr>
              <w:pStyle w:val="11"/>
              <w:widowControl w:val="0"/>
              <w:shd w:val="clear" w:color="auto" w:fill="FFFFFF" w:themeFill="background1"/>
              <w:tabs>
                <w:tab w:val="left" w:pos="273"/>
              </w:tabs>
              <w:spacing w:after="120" w:line="272" w:lineRule="exact"/>
              <w:ind w:firstLine="449"/>
              <w:jc w:val="both"/>
              <w:rPr>
                <w:rFonts w:cs="Times New Roman"/>
                <w:szCs w:val="24"/>
                <w:lang w:val="uk-UA"/>
              </w:rPr>
            </w:pPr>
            <w:r w:rsidRPr="00AC4FAF">
              <w:rPr>
                <w:rFonts w:cs="Times New Roman"/>
                <w:szCs w:val="24"/>
                <w:lang w:val="uk-UA"/>
              </w:rPr>
              <w:t xml:space="preserve">Зразки заяв та інших документів розміщені на офіційному </w:t>
            </w:r>
            <w:proofErr w:type="spellStart"/>
            <w:r w:rsidRPr="00AC4FAF">
              <w:rPr>
                <w:rFonts w:cs="Times New Roman"/>
                <w:szCs w:val="24"/>
                <w:lang w:val="uk-UA"/>
              </w:rPr>
              <w:t>вебсайті</w:t>
            </w:r>
            <w:proofErr w:type="spellEnd"/>
            <w:r w:rsidRPr="00AC4FAF">
              <w:rPr>
                <w:rFonts w:cs="Times New Roman"/>
                <w:szCs w:val="24"/>
                <w:lang w:val="uk-UA"/>
              </w:rPr>
              <w:t xml:space="preserve"> Національного бюро (</w:t>
            </w:r>
            <w:hyperlink r:id="rId8" w:history="1">
              <w:r w:rsidRPr="00EA1E9A">
                <w:rPr>
                  <w:rStyle w:val="a3"/>
                </w:rPr>
                <w:t>https://nabu.gov.ua/robota-v-nabu/pravila-priiomu/poryadok-provedennya-vidkrytogo-konkursu/</w:t>
              </w:r>
            </w:hyperlink>
            <w:r w:rsidR="00EA1E9A">
              <w:rPr>
                <w:rFonts w:cs="Times New Roman"/>
                <w:szCs w:val="24"/>
                <w:lang w:val="en-US"/>
              </w:rPr>
              <w:t xml:space="preserve">, </w:t>
            </w:r>
            <w:r w:rsidRPr="00AC4FAF">
              <w:rPr>
                <w:rFonts w:cs="Times New Roman"/>
                <w:szCs w:val="24"/>
                <w:lang w:val="uk-UA"/>
              </w:rPr>
              <w:t>Порядок проведення відкритого конкурсу, розділ ІІІ).</w:t>
            </w:r>
          </w:p>
        </w:tc>
      </w:tr>
      <w:tr w:rsidR="00C146FA" w:rsidRPr="00C146F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C146FA" w:rsidRDefault="00DE3A0C" w:rsidP="00DE3A0C">
            <w:pPr>
              <w:jc w:val="center"/>
              <w:rPr>
                <w:caps/>
                <w:lang w:val="uk-UA"/>
              </w:rPr>
            </w:pPr>
            <w:r w:rsidRPr="00C146FA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415" w:type="dxa"/>
          </w:tcPr>
          <w:p w:rsidR="00DE3A0C" w:rsidRPr="00C146FA" w:rsidRDefault="00DE3A0C" w:rsidP="00DE3A0C">
            <w:pPr>
              <w:rPr>
                <w:lang w:val="uk-UA"/>
              </w:rPr>
            </w:pPr>
            <w:r w:rsidRPr="00C146FA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C146FA" w:rsidRDefault="00602921" w:rsidP="00F12EA8">
            <w:pPr>
              <w:jc w:val="both"/>
              <w:rPr>
                <w:sz w:val="10"/>
                <w:szCs w:val="10"/>
                <w:lang w:val="uk-UA"/>
              </w:rPr>
            </w:pPr>
            <w:r w:rsidRPr="00C146FA">
              <w:rPr>
                <w:kern w:val="36"/>
                <w:lang w:val="uk-UA"/>
              </w:rPr>
              <w:t xml:space="preserve">Протягом </w:t>
            </w:r>
            <w:r w:rsidR="00F12EA8" w:rsidRPr="00C146FA">
              <w:rPr>
                <w:kern w:val="36"/>
                <w:lang w:val="uk-UA"/>
              </w:rPr>
              <w:t>30</w:t>
            </w:r>
            <w:r w:rsidRPr="00C146FA">
              <w:rPr>
                <w:kern w:val="36"/>
                <w:lang w:val="uk-UA"/>
              </w:rPr>
              <w:t xml:space="preserve"> календарних днів </w:t>
            </w:r>
            <w:r w:rsidRPr="00C146FA">
              <w:rPr>
                <w:lang w:val="uk-UA"/>
              </w:rPr>
              <w:t>з дня оприлюднення повід</w:t>
            </w:r>
            <w:r w:rsidR="009D6EB7" w:rsidRPr="00C146FA">
              <w:rPr>
                <w:lang w:val="uk-UA"/>
              </w:rPr>
              <w:t>омлення про проведення конкурсу</w:t>
            </w:r>
          </w:p>
        </w:tc>
      </w:tr>
      <w:tr w:rsidR="00F12EA8" w:rsidRPr="007D2029" w:rsidTr="0067577C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3.4</w:t>
            </w:r>
          </w:p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F12EA8" w:rsidRPr="00846C1B" w:rsidRDefault="00F12EA8" w:rsidP="00F12EA8">
            <w:pPr>
              <w:rPr>
                <w:lang w:val="uk-UA"/>
              </w:rPr>
            </w:pPr>
            <w:r w:rsidRPr="00CA60F8">
              <w:rPr>
                <w:lang w:val="uk-UA"/>
              </w:rPr>
              <w:t>Прийом документів</w:t>
            </w:r>
          </w:p>
        </w:tc>
        <w:tc>
          <w:tcPr>
            <w:tcW w:w="6133" w:type="dxa"/>
            <w:gridSpan w:val="2"/>
          </w:tcPr>
          <w:p w:rsidR="00F12EA8" w:rsidRDefault="00F12EA8" w:rsidP="00F12EA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r w:rsidRPr="00CA60F8">
              <w:rPr>
                <w:rFonts w:eastAsia="Times New Roman" w:cs="Calibri"/>
                <w:szCs w:val="20"/>
                <w:lang w:val="uk-UA" w:eastAsia="uk-UA"/>
              </w:rPr>
              <w:t>За посиланням на веб-сайті Національного бюро</w:t>
            </w:r>
          </w:p>
          <w:p w:rsidR="00F12EA8" w:rsidRPr="00CA60F8" w:rsidRDefault="00D07090" w:rsidP="00F12EA8">
            <w:pPr>
              <w:jc w:val="both"/>
              <w:rPr>
                <w:rFonts w:eastAsia="Times New Roman" w:cs="Calibri"/>
                <w:szCs w:val="20"/>
                <w:lang w:val="uk-UA" w:eastAsia="uk-UA"/>
              </w:rPr>
            </w:pPr>
            <w:hyperlink r:id="rId9" w:history="1">
              <w:r w:rsidR="00F12EA8" w:rsidRPr="00032CB3">
                <w:rPr>
                  <w:rStyle w:val="a3"/>
                  <w:rFonts w:eastAsia="Times New Roman" w:cs="Calibri"/>
                  <w:szCs w:val="20"/>
                  <w:lang w:val="uk-UA" w:eastAsia="uk-UA"/>
                </w:rPr>
                <w:t>https://nabu.gov.ua/robota-v-nabu/perelik-vakansiy/</w:t>
              </w:r>
            </w:hyperlink>
            <w:r w:rsidR="00F12EA8">
              <w:rPr>
                <w:rFonts w:eastAsia="Times New Roman" w:cs="Calibri"/>
                <w:szCs w:val="20"/>
                <w:lang w:val="uk-UA" w:eastAsia="uk-UA"/>
              </w:rPr>
              <w:t>.</w:t>
            </w:r>
          </w:p>
        </w:tc>
      </w:tr>
      <w:tr w:rsidR="00DE3A0C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7D2029" w:rsidRDefault="00DE3A0C" w:rsidP="00DE3A0C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7D2029" w:rsidRDefault="00DE3A0C" w:rsidP="00DE3A0C">
            <w:pPr>
              <w:rPr>
                <w:lang w:val="uk-UA"/>
              </w:rPr>
            </w:pPr>
            <w:r w:rsidRPr="007D2029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Pr="007D2029" w:rsidRDefault="00DE3A0C" w:rsidP="00DE3A0C">
            <w:pPr>
              <w:jc w:val="both"/>
              <w:rPr>
                <w:lang w:val="uk-UA"/>
              </w:rPr>
            </w:pPr>
            <w:r w:rsidRPr="007D2029">
              <w:rPr>
                <w:b/>
                <w:bCs/>
                <w:lang w:val="uk-UA"/>
              </w:rPr>
              <w:t>E-</w:t>
            </w:r>
            <w:proofErr w:type="spellStart"/>
            <w:r w:rsidRPr="007D2029">
              <w:rPr>
                <w:b/>
                <w:bCs/>
                <w:lang w:val="uk-UA"/>
              </w:rPr>
              <w:t>mail</w:t>
            </w:r>
            <w:proofErr w:type="spellEnd"/>
            <w:r w:rsidRPr="007D2029">
              <w:rPr>
                <w:b/>
                <w:bCs/>
                <w:lang w:val="uk-UA"/>
              </w:rPr>
              <w:t>:</w:t>
            </w:r>
            <w:r w:rsidRPr="007D2029">
              <w:rPr>
                <w:lang w:val="uk-UA"/>
              </w:rPr>
              <w:t> </w:t>
            </w:r>
            <w:hyperlink r:id="rId10" w:history="1">
              <w:r w:rsidRPr="007D2029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Pr="007D2029" w:rsidRDefault="00DE3A0C" w:rsidP="00DE3A0C">
            <w:pPr>
              <w:jc w:val="both"/>
              <w:rPr>
                <w:lang w:val="uk-UA"/>
              </w:rPr>
            </w:pPr>
            <w:r w:rsidRPr="007D2029">
              <w:rPr>
                <w:lang w:val="uk-UA"/>
              </w:rPr>
              <w:t>(044) 246-3</w:t>
            </w:r>
            <w:r w:rsidR="00EC18D5" w:rsidRPr="007D2029">
              <w:rPr>
                <w:lang w:val="uk-UA"/>
              </w:rPr>
              <w:t>1-22</w:t>
            </w:r>
          </w:p>
          <w:p w:rsidR="00DE3A0C" w:rsidRPr="007D2029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12EA8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F12EA8" w:rsidRPr="007D2029" w:rsidRDefault="00F12EA8" w:rsidP="00F12EA8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3.6</w:t>
            </w:r>
          </w:p>
        </w:tc>
        <w:tc>
          <w:tcPr>
            <w:tcW w:w="3415" w:type="dxa"/>
          </w:tcPr>
          <w:p w:rsidR="00F12EA8" w:rsidRPr="007D2029" w:rsidRDefault="00F12EA8" w:rsidP="00F12EA8">
            <w:pPr>
              <w:rPr>
                <w:lang w:val="uk-UA"/>
              </w:rPr>
            </w:pPr>
            <w:r w:rsidRPr="007D2029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EE0DEB" w:rsidRPr="00E002BA" w:rsidRDefault="00EE0DEB" w:rsidP="00EE0DEB">
            <w:pPr>
              <w:jc w:val="both"/>
              <w:rPr>
                <w:rFonts w:cs="Calibri"/>
                <w:szCs w:val="20"/>
                <w:lang w:val="uk-UA" w:eastAsia="uk-UA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Посадовий оклад: 69 038,00 грн.*</w:t>
            </w:r>
          </w:p>
          <w:p w:rsidR="00974F88" w:rsidRPr="0080028A" w:rsidRDefault="00EE0DEB" w:rsidP="00EE0DEB">
            <w:pPr>
              <w:jc w:val="both"/>
              <w:rPr>
                <w:kern w:val="36"/>
                <w:sz w:val="10"/>
                <w:szCs w:val="10"/>
              </w:rPr>
            </w:pPr>
            <w:r w:rsidRPr="00E002BA">
              <w:rPr>
                <w:rFonts w:cs="Calibri"/>
                <w:szCs w:val="20"/>
                <w:lang w:val="uk-UA" w:eastAsia="uk-UA"/>
              </w:rPr>
              <w:t>Доплати: відповідно до статті 23 Закону України «Про Національне антикорупційне бюро України.</w:t>
            </w:r>
          </w:p>
        </w:tc>
      </w:tr>
      <w:tr w:rsidR="002222D6" w:rsidRPr="007D2029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2222D6" w:rsidRPr="007D2029" w:rsidRDefault="002222D6" w:rsidP="002222D6">
            <w:pPr>
              <w:jc w:val="center"/>
              <w:rPr>
                <w:caps/>
                <w:lang w:val="uk-UA"/>
              </w:rPr>
            </w:pPr>
            <w:r w:rsidRPr="007D2029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2222D6" w:rsidRPr="007D2029" w:rsidRDefault="002222D6" w:rsidP="002222D6">
            <w:pPr>
              <w:rPr>
                <w:lang w:val="uk-UA"/>
              </w:rPr>
            </w:pPr>
            <w:r w:rsidRPr="007D2029"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2222D6" w:rsidRPr="006F0FB3" w:rsidRDefault="00601699" w:rsidP="00BE10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 Київ, вул. </w:t>
            </w:r>
            <w:r w:rsidR="002222D6">
              <w:rPr>
                <w:lang w:val="uk-UA"/>
              </w:rPr>
              <w:t>Дениса</w:t>
            </w:r>
            <w:r>
              <w:rPr>
                <w:lang w:val="uk-UA"/>
              </w:rPr>
              <w:t> </w:t>
            </w:r>
            <w:r w:rsidR="002222D6">
              <w:rPr>
                <w:lang w:val="uk-UA"/>
              </w:rPr>
              <w:t>Монастирського</w:t>
            </w:r>
            <w:r>
              <w:rPr>
                <w:lang w:val="uk-UA"/>
              </w:rPr>
              <w:t>, </w:t>
            </w:r>
            <w:r w:rsidR="002222D6" w:rsidRPr="00DF705D">
              <w:rPr>
                <w:lang w:val="uk-UA"/>
              </w:rPr>
              <w:t>3 (адміністративна будівля Національного бюро)</w:t>
            </w:r>
          </w:p>
        </w:tc>
      </w:tr>
    </w:tbl>
    <w:p w:rsidR="00E07ABB" w:rsidRPr="007D2029" w:rsidRDefault="00E07ABB" w:rsidP="00E07ABB">
      <w:pPr>
        <w:jc w:val="center"/>
        <w:rPr>
          <w:lang w:val="uk-UA"/>
        </w:rPr>
      </w:pPr>
      <w:r w:rsidRPr="007D2029">
        <w:rPr>
          <w:lang w:val="uk-UA"/>
        </w:rPr>
        <w:t xml:space="preserve"> </w:t>
      </w:r>
    </w:p>
    <w:p w:rsidR="00A422ED" w:rsidRPr="007D2029" w:rsidRDefault="00E07ABB" w:rsidP="006F0FB3">
      <w:pPr>
        <w:ind w:firstLine="708"/>
        <w:jc w:val="both"/>
        <w:rPr>
          <w:lang w:val="uk-UA"/>
        </w:rPr>
      </w:pPr>
      <w:r w:rsidRPr="007D2029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7D2029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241"/>
    <w:multiLevelType w:val="hybridMultilevel"/>
    <w:tmpl w:val="2DC2CAF8"/>
    <w:lvl w:ilvl="0" w:tplc="37F4FB5A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0206D5"/>
    <w:rsid w:val="00031E2A"/>
    <w:rsid w:val="00042558"/>
    <w:rsid w:val="00085EAA"/>
    <w:rsid w:val="000A183F"/>
    <w:rsid w:val="000A4303"/>
    <w:rsid w:val="000A596F"/>
    <w:rsid w:val="00112D72"/>
    <w:rsid w:val="001132C6"/>
    <w:rsid w:val="00121F1F"/>
    <w:rsid w:val="001566F0"/>
    <w:rsid w:val="001651AC"/>
    <w:rsid w:val="001D3868"/>
    <w:rsid w:val="001E4284"/>
    <w:rsid w:val="00210F0A"/>
    <w:rsid w:val="002222D6"/>
    <w:rsid w:val="00223CED"/>
    <w:rsid w:val="002343D2"/>
    <w:rsid w:val="00261DF1"/>
    <w:rsid w:val="00265C93"/>
    <w:rsid w:val="0027379B"/>
    <w:rsid w:val="00276257"/>
    <w:rsid w:val="00287B73"/>
    <w:rsid w:val="0029433E"/>
    <w:rsid w:val="00297186"/>
    <w:rsid w:val="002A4003"/>
    <w:rsid w:val="002A588C"/>
    <w:rsid w:val="002D2427"/>
    <w:rsid w:val="002F19F1"/>
    <w:rsid w:val="0032719F"/>
    <w:rsid w:val="00354099"/>
    <w:rsid w:val="0035571E"/>
    <w:rsid w:val="00361FA0"/>
    <w:rsid w:val="00363294"/>
    <w:rsid w:val="003E0235"/>
    <w:rsid w:val="003F36C1"/>
    <w:rsid w:val="004E1A8E"/>
    <w:rsid w:val="004F3B07"/>
    <w:rsid w:val="0054527B"/>
    <w:rsid w:val="005461ED"/>
    <w:rsid w:val="00591ECD"/>
    <w:rsid w:val="005A19DA"/>
    <w:rsid w:val="005A54A0"/>
    <w:rsid w:val="005C56F2"/>
    <w:rsid w:val="005E281D"/>
    <w:rsid w:val="00601699"/>
    <w:rsid w:val="00602921"/>
    <w:rsid w:val="00620824"/>
    <w:rsid w:val="00637E9B"/>
    <w:rsid w:val="00650C7C"/>
    <w:rsid w:val="006A432A"/>
    <w:rsid w:val="006C6F7F"/>
    <w:rsid w:val="006E001B"/>
    <w:rsid w:val="006F0FB3"/>
    <w:rsid w:val="007014AF"/>
    <w:rsid w:val="00705224"/>
    <w:rsid w:val="00741BA8"/>
    <w:rsid w:val="00750340"/>
    <w:rsid w:val="00794FAB"/>
    <w:rsid w:val="007A1FD5"/>
    <w:rsid w:val="007B6207"/>
    <w:rsid w:val="007D2029"/>
    <w:rsid w:val="00821A9B"/>
    <w:rsid w:val="00883034"/>
    <w:rsid w:val="00884AE1"/>
    <w:rsid w:val="008A173E"/>
    <w:rsid w:val="008E7053"/>
    <w:rsid w:val="008F64F2"/>
    <w:rsid w:val="00942A1A"/>
    <w:rsid w:val="00943831"/>
    <w:rsid w:val="009555B0"/>
    <w:rsid w:val="00972155"/>
    <w:rsid w:val="00973D64"/>
    <w:rsid w:val="00974F88"/>
    <w:rsid w:val="00985B90"/>
    <w:rsid w:val="009B0708"/>
    <w:rsid w:val="009D51F0"/>
    <w:rsid w:val="009D6EB7"/>
    <w:rsid w:val="00A401EE"/>
    <w:rsid w:val="00A6564D"/>
    <w:rsid w:val="00A82DCA"/>
    <w:rsid w:val="00AA3A42"/>
    <w:rsid w:val="00AD22F8"/>
    <w:rsid w:val="00AF5FF4"/>
    <w:rsid w:val="00B46F58"/>
    <w:rsid w:val="00B578B6"/>
    <w:rsid w:val="00BE1045"/>
    <w:rsid w:val="00C146FA"/>
    <w:rsid w:val="00C5406D"/>
    <w:rsid w:val="00C752F3"/>
    <w:rsid w:val="00CA63E8"/>
    <w:rsid w:val="00CB356C"/>
    <w:rsid w:val="00CB5EB3"/>
    <w:rsid w:val="00CC4EE1"/>
    <w:rsid w:val="00CE660F"/>
    <w:rsid w:val="00CE7C6B"/>
    <w:rsid w:val="00CF3B2B"/>
    <w:rsid w:val="00CF6C4D"/>
    <w:rsid w:val="00D07057"/>
    <w:rsid w:val="00D07090"/>
    <w:rsid w:val="00D208C5"/>
    <w:rsid w:val="00D96E67"/>
    <w:rsid w:val="00DE3A0C"/>
    <w:rsid w:val="00E06E99"/>
    <w:rsid w:val="00E07ABB"/>
    <w:rsid w:val="00E45DE8"/>
    <w:rsid w:val="00E65291"/>
    <w:rsid w:val="00EA1E9A"/>
    <w:rsid w:val="00EC0ABF"/>
    <w:rsid w:val="00EC18D5"/>
    <w:rsid w:val="00EE0DEB"/>
    <w:rsid w:val="00F06EC8"/>
    <w:rsid w:val="00F12EA8"/>
    <w:rsid w:val="00F30CC5"/>
    <w:rsid w:val="00F5045E"/>
    <w:rsid w:val="00F6489C"/>
    <w:rsid w:val="00FA27E4"/>
    <w:rsid w:val="00FA500C"/>
    <w:rsid w:val="00FC1E64"/>
    <w:rsid w:val="00FE1130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72CB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qFormat/>
    <w:rsid w:val="006F0FB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05224"/>
    <w:rPr>
      <w:color w:val="954F72" w:themeColor="followedHyperlink"/>
      <w:u w:val="single"/>
    </w:rPr>
  </w:style>
  <w:style w:type="paragraph" w:styleId="a7">
    <w:name w:val="Normal (Web)"/>
    <w:basedOn w:val="a"/>
    <w:unhideWhenUsed/>
    <w:qFormat/>
    <w:rsid w:val="002222D6"/>
    <w:pPr>
      <w:spacing w:before="100" w:beforeAutospacing="1" w:after="100" w:afterAutospacing="1"/>
    </w:pPr>
    <w:rPr>
      <w:rFonts w:eastAsia="Times New Roman"/>
      <w:lang w:val="uk-UA" w:eastAsia="uk-UA"/>
    </w:rPr>
  </w:style>
  <w:style w:type="paragraph" w:customStyle="1" w:styleId="11">
    <w:name w:val="Звичайний1"/>
    <w:qFormat/>
    <w:rsid w:val="002222D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eastAsia="Times New Roman" w:cs="Calibri"/>
      <w:szCs w:val="20"/>
      <w:lang w:val="ru-RU" w:eastAsia="uk-UA"/>
    </w:rPr>
  </w:style>
  <w:style w:type="character" w:customStyle="1" w:styleId="12">
    <w:name w:val="Гіперпосилання1"/>
    <w:rsid w:val="002222D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B6207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B6207"/>
    <w:rPr>
      <w:rFonts w:ascii="Segoe UI" w:eastAsia="Calibri" w:hAnsi="Segoe UI" w:cs="Segoe UI"/>
      <w:sz w:val="18"/>
      <w:szCs w:val="18"/>
      <w:lang w:val="ru-RU" w:eastAsia="ru-RU"/>
    </w:rPr>
  </w:style>
  <w:style w:type="paragraph" w:customStyle="1" w:styleId="21">
    <w:name w:val="Середня сітка 21"/>
    <w:uiPriority w:val="1"/>
    <w:qFormat/>
    <w:rsid w:val="005C56F2"/>
    <w:pPr>
      <w:spacing w:after="0" w:line="240" w:lineRule="auto"/>
    </w:pPr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ravila-priiomu/poryadok-provedennya-vidkrytogo-konkurs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uk-ua/microsoft-365/wo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icrosoft.com/uk-ua/microsoft-365/word" TargetMode="External"/><Relationship Id="rId10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robota-v-nabu/perelik-vakansi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7003</Words>
  <Characters>3993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Фільварська Наталія Йосипівна</cp:lastModifiedBy>
  <cp:revision>11</cp:revision>
  <cp:lastPrinted>2024-10-29T14:14:00Z</cp:lastPrinted>
  <dcterms:created xsi:type="dcterms:W3CDTF">2025-03-19T10:03:00Z</dcterms:created>
  <dcterms:modified xsi:type="dcterms:W3CDTF">2025-03-25T15:44:00Z</dcterms:modified>
</cp:coreProperties>
</file>