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Заступник 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922D67">
        <w:rPr>
          <w:b/>
          <w:sz w:val="28"/>
          <w:szCs w:val="28"/>
          <w:lang w:val="uk-UA"/>
        </w:rPr>
        <w:t>П’ятого</w:t>
      </w:r>
      <w:r w:rsidR="0050008B">
        <w:rPr>
          <w:b/>
          <w:sz w:val="28"/>
          <w:szCs w:val="28"/>
          <w:lang w:val="uk-UA"/>
        </w:rPr>
        <w:t xml:space="preserve"> </w:t>
      </w:r>
      <w:r w:rsidR="00027A8E">
        <w:rPr>
          <w:b/>
          <w:sz w:val="28"/>
          <w:szCs w:val="28"/>
          <w:lang w:val="uk-UA"/>
        </w:rPr>
        <w:t>підрозділу детективів</w:t>
      </w:r>
    </w:p>
    <w:p w:rsidR="00A824EB" w:rsidRPr="000C0FD1" w:rsidRDefault="0050008B" w:rsidP="00A824EB">
      <w:pPr>
        <w:jc w:val="center"/>
        <w:rPr>
          <w:b/>
          <w:sz w:val="28"/>
          <w:szCs w:val="28"/>
        </w:rPr>
      </w:pPr>
      <w:r>
        <w:rPr>
          <w:b/>
          <w:sz w:val="28"/>
          <w:szCs w:val="28"/>
          <w:lang w:val="uk-UA"/>
        </w:rPr>
        <w:t xml:space="preserve">Другого </w:t>
      </w:r>
      <w:r w:rsidR="00692ADF">
        <w:rPr>
          <w:b/>
          <w:sz w:val="28"/>
          <w:szCs w:val="28"/>
          <w:lang w:val="uk-UA"/>
        </w:rPr>
        <w:t>Г</w:t>
      </w:r>
      <w:r w:rsidR="009C55F0">
        <w:rPr>
          <w:b/>
          <w:sz w:val="28"/>
          <w:szCs w:val="28"/>
          <w:lang w:val="uk-UA"/>
        </w:rPr>
        <w:t>оловн</w:t>
      </w:r>
      <w:r>
        <w:rPr>
          <w:b/>
          <w:sz w:val="28"/>
          <w:szCs w:val="28"/>
          <w:lang w:val="uk-UA"/>
        </w:rPr>
        <w:t>ого</w:t>
      </w:r>
      <w:r w:rsidR="009C55F0">
        <w:rPr>
          <w:b/>
          <w:sz w:val="28"/>
          <w:szCs w:val="28"/>
          <w:lang w:val="uk-UA"/>
        </w:rPr>
        <w:t xml:space="preserve"> </w:t>
      </w:r>
      <w:r w:rsidR="00532547">
        <w:rPr>
          <w:b/>
          <w:sz w:val="28"/>
          <w:szCs w:val="28"/>
          <w:lang w:val="uk-UA"/>
        </w:rPr>
        <w:t>підрозділ</w:t>
      </w:r>
      <w:r>
        <w:rPr>
          <w:b/>
          <w:sz w:val="28"/>
          <w:szCs w:val="28"/>
          <w:lang w:val="uk-UA"/>
        </w:rPr>
        <w:t>у</w:t>
      </w:r>
      <w:r w:rsidR="00532547">
        <w:rPr>
          <w:b/>
          <w:sz w:val="28"/>
          <w:szCs w:val="28"/>
          <w:lang w:val="uk-UA"/>
        </w:rPr>
        <w:t xml:space="preserve"> детективів</w:t>
      </w:r>
      <w:r>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0C0FD1" w:rsidRDefault="006C7F06" w:rsidP="00A824EB">
      <w:pPr>
        <w:jc w:val="center"/>
        <w:rPr>
          <w:b/>
          <w:sz w:val="28"/>
          <w:szCs w:val="28"/>
          <w:lang w:val="uk-UA"/>
        </w:rPr>
      </w:pPr>
      <w:r w:rsidRPr="00480AF4">
        <w:rPr>
          <w:b/>
          <w:sz w:val="28"/>
          <w:szCs w:val="28"/>
          <w:lang w:val="uk-UA"/>
        </w:rPr>
        <w:t>(</w:t>
      </w:r>
      <w:r w:rsidRPr="00080BBA">
        <w:rPr>
          <w:b/>
          <w:sz w:val="28"/>
          <w:szCs w:val="28"/>
          <w:lang w:val="uk-UA"/>
        </w:rPr>
        <w:t>з наданням робочого місця у м. Києві</w:t>
      </w:r>
      <w:r w:rsidRPr="00480AF4">
        <w:rPr>
          <w:b/>
          <w:sz w:val="28"/>
          <w:szCs w:val="28"/>
          <w:lang w:val="uk-UA"/>
        </w:rPr>
        <w:t>)</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0324ED" w:rsidP="004C78E4">
            <w:pPr>
              <w:pStyle w:val="21"/>
              <w:widowControl w:val="0"/>
              <w:rPr>
                <w:rFonts w:ascii="Times New Roman" w:hAnsi="Times New Roman"/>
                <w:sz w:val="24"/>
                <w:szCs w:val="24"/>
                <w:lang w:val="uk-UA"/>
              </w:rPr>
            </w:pPr>
            <w:r>
              <w:rPr>
                <w:rFonts w:ascii="Times New Roman" w:hAnsi="Times New Roman"/>
                <w:sz w:val="24"/>
                <w:szCs w:val="24"/>
                <w:u w:val="single"/>
                <w:lang w:val="uk-UA"/>
              </w:rPr>
              <w:t>«03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4C78E4">
              <w:rPr>
                <w:rFonts w:ascii="Times New Roman" w:hAnsi="Times New Roman"/>
                <w:sz w:val="24"/>
                <w:szCs w:val="24"/>
                <w:lang w:val="uk-UA"/>
              </w:rPr>
              <w:t>вересня</w:t>
            </w:r>
            <w:r w:rsidR="009C55F0">
              <w:rPr>
                <w:rFonts w:ascii="Times New Roman" w:hAnsi="Times New Roman"/>
                <w:sz w:val="24"/>
                <w:szCs w:val="24"/>
                <w:lang w:val="uk-UA"/>
              </w:rPr>
              <w:t xml:space="preserve"> 202</w:t>
            </w:r>
            <w:r w:rsidR="00080BBA">
              <w:rPr>
                <w:rFonts w:ascii="Times New Roman" w:hAnsi="Times New Roman"/>
                <w:sz w:val="24"/>
                <w:szCs w:val="24"/>
                <w:lang w:val="uk-UA"/>
              </w:rPr>
              <w:t>5</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747ED5" w:rsidRPr="000C0FD1" w:rsidTr="00F21C62">
        <w:tc>
          <w:tcPr>
            <w:tcW w:w="835" w:type="dxa"/>
            <w:shd w:val="clear" w:color="auto" w:fill="auto"/>
          </w:tcPr>
          <w:p w:rsidR="00747ED5" w:rsidRPr="000C0FD1" w:rsidRDefault="00A937DF" w:rsidP="00A937DF">
            <w:pPr>
              <w:ind w:right="-248"/>
              <w:rPr>
                <w:lang w:val="uk-UA"/>
              </w:rPr>
            </w:pPr>
            <w:r w:rsidRPr="000C0FD1">
              <w:rPr>
                <w:lang w:val="uk-UA"/>
              </w:rPr>
              <w:t>1.1.</w:t>
            </w:r>
          </w:p>
        </w:tc>
        <w:tc>
          <w:tcPr>
            <w:tcW w:w="3599" w:type="dxa"/>
            <w:shd w:val="clear" w:color="auto" w:fill="auto"/>
          </w:tcPr>
          <w:p w:rsidR="00747ED5" w:rsidRPr="000C0FD1" w:rsidRDefault="00747ED5" w:rsidP="00747ED5">
            <w:pPr>
              <w:rPr>
                <w:lang w:val="uk-UA"/>
              </w:rPr>
            </w:pPr>
            <w:r w:rsidRPr="000C0FD1">
              <w:rPr>
                <w:lang w:val="uk-UA"/>
              </w:rPr>
              <w:t>Найменування державного органу</w:t>
            </w:r>
          </w:p>
        </w:tc>
        <w:tc>
          <w:tcPr>
            <w:tcW w:w="5947" w:type="dxa"/>
            <w:shd w:val="clear" w:color="auto" w:fill="auto"/>
          </w:tcPr>
          <w:p w:rsidR="00747ED5" w:rsidRPr="000C0FD1" w:rsidRDefault="00747ED5" w:rsidP="00A824EB">
            <w:pPr>
              <w:tabs>
                <w:tab w:val="left" w:pos="312"/>
              </w:tabs>
              <w:rPr>
                <w:lang w:val="uk-UA"/>
              </w:rPr>
            </w:pPr>
            <w:r w:rsidRPr="000C0FD1">
              <w:rPr>
                <w:lang w:val="uk-UA"/>
              </w:rPr>
              <w:t>Національне антикорупційне бюро України</w:t>
            </w:r>
            <w:r w:rsidR="00A824EB" w:rsidRPr="000C0FD1">
              <w:rPr>
                <w:lang w:val="uk-UA"/>
              </w:rPr>
              <w:t xml:space="preserve">                       (далі – Національне бюро)</w:t>
            </w:r>
          </w:p>
        </w:tc>
      </w:tr>
      <w:tr w:rsidR="004C1DAA" w:rsidRPr="000C0FD1" w:rsidTr="00F21C62">
        <w:trPr>
          <w:trHeight w:val="512"/>
        </w:trPr>
        <w:tc>
          <w:tcPr>
            <w:tcW w:w="835" w:type="dxa"/>
            <w:shd w:val="clear" w:color="auto" w:fill="auto"/>
          </w:tcPr>
          <w:p w:rsidR="004C1DAA" w:rsidRPr="000C0FD1" w:rsidRDefault="00A937DF" w:rsidP="00A937DF">
            <w:pPr>
              <w:ind w:right="-248"/>
              <w:rPr>
                <w:lang w:val="uk-UA"/>
              </w:rPr>
            </w:pPr>
            <w:r w:rsidRPr="000C0FD1">
              <w:rPr>
                <w:lang w:val="uk-UA"/>
              </w:rPr>
              <w:t>1.2.</w:t>
            </w:r>
          </w:p>
        </w:tc>
        <w:tc>
          <w:tcPr>
            <w:tcW w:w="3599" w:type="dxa"/>
            <w:shd w:val="clear" w:color="auto" w:fill="auto"/>
          </w:tcPr>
          <w:p w:rsidR="004C1DAA" w:rsidRPr="000C0FD1" w:rsidRDefault="004C1DAA" w:rsidP="004C1DAA">
            <w:pPr>
              <w:rPr>
                <w:lang w:val="uk-UA"/>
              </w:rPr>
            </w:pPr>
            <w:r w:rsidRPr="000C0FD1">
              <w:rPr>
                <w:lang w:val="uk-UA"/>
              </w:rPr>
              <w:t>Найменування структурного підрозділу</w:t>
            </w:r>
          </w:p>
        </w:tc>
        <w:tc>
          <w:tcPr>
            <w:tcW w:w="5947" w:type="dxa"/>
            <w:shd w:val="clear" w:color="auto" w:fill="auto"/>
            <w:vAlign w:val="center"/>
          </w:tcPr>
          <w:p w:rsidR="004C1DAA" w:rsidRPr="000C0FD1" w:rsidRDefault="006B6652" w:rsidP="00A91A73">
            <w:pPr>
              <w:rPr>
                <w:lang w:val="uk-UA"/>
              </w:rPr>
            </w:pPr>
            <w:r>
              <w:rPr>
                <w:lang w:val="uk-UA"/>
              </w:rPr>
              <w:t>Підрозділ детективів Головних підрозділів детективів</w:t>
            </w:r>
          </w:p>
        </w:tc>
      </w:tr>
      <w:tr w:rsidR="004C1DAA" w:rsidRPr="000C0FD1" w:rsidTr="00F21C62">
        <w:trPr>
          <w:trHeight w:val="309"/>
        </w:trPr>
        <w:tc>
          <w:tcPr>
            <w:tcW w:w="835" w:type="dxa"/>
            <w:shd w:val="clear" w:color="auto" w:fill="auto"/>
          </w:tcPr>
          <w:p w:rsidR="004C1DAA" w:rsidRPr="000C0FD1" w:rsidRDefault="00A937DF" w:rsidP="00A937DF">
            <w:pPr>
              <w:ind w:right="-248"/>
              <w:rPr>
                <w:lang w:val="uk-UA"/>
              </w:rPr>
            </w:pPr>
            <w:r w:rsidRPr="000C0FD1">
              <w:rPr>
                <w:lang w:val="uk-UA"/>
              </w:rPr>
              <w:t>1.3.</w:t>
            </w:r>
          </w:p>
        </w:tc>
        <w:tc>
          <w:tcPr>
            <w:tcW w:w="3599" w:type="dxa"/>
            <w:shd w:val="clear" w:color="auto" w:fill="auto"/>
          </w:tcPr>
          <w:p w:rsidR="004C1DAA" w:rsidRPr="000C0FD1" w:rsidRDefault="004C1DAA" w:rsidP="004C1DAA">
            <w:pPr>
              <w:rPr>
                <w:lang w:val="uk-UA"/>
              </w:rPr>
            </w:pPr>
            <w:r w:rsidRPr="000C0FD1">
              <w:rPr>
                <w:lang w:val="uk-UA"/>
              </w:rPr>
              <w:t>Найменування посади</w:t>
            </w:r>
          </w:p>
        </w:tc>
        <w:tc>
          <w:tcPr>
            <w:tcW w:w="5947" w:type="dxa"/>
            <w:shd w:val="clear" w:color="auto" w:fill="auto"/>
          </w:tcPr>
          <w:p w:rsidR="004C1DAA" w:rsidRPr="000C0FD1" w:rsidRDefault="006C7F06" w:rsidP="00922D67">
            <w:pPr>
              <w:rPr>
                <w:lang w:val="uk-UA"/>
              </w:rPr>
            </w:pPr>
            <w:r>
              <w:rPr>
                <w:lang w:val="uk-UA"/>
              </w:rPr>
              <w:t xml:space="preserve">Заступник </w:t>
            </w:r>
            <w:r w:rsidR="0050008B">
              <w:rPr>
                <w:lang w:val="uk-UA"/>
              </w:rPr>
              <w:t>К</w:t>
            </w:r>
            <w:r w:rsidR="00027A8E">
              <w:rPr>
                <w:lang w:val="uk-UA"/>
              </w:rPr>
              <w:t>ерівник</w:t>
            </w:r>
            <w:r>
              <w:rPr>
                <w:lang w:val="uk-UA"/>
              </w:rPr>
              <w:t>а</w:t>
            </w:r>
            <w:r w:rsidR="00027A8E">
              <w:rPr>
                <w:lang w:val="uk-UA"/>
              </w:rPr>
              <w:t xml:space="preserve"> </w:t>
            </w:r>
            <w:r w:rsidR="00922D67">
              <w:rPr>
                <w:lang w:val="uk-UA"/>
              </w:rPr>
              <w:t>П’ятого</w:t>
            </w:r>
            <w:r w:rsidR="0050008B">
              <w:rPr>
                <w:lang w:val="uk-UA"/>
              </w:rPr>
              <w:t xml:space="preserve"> </w:t>
            </w:r>
            <w:r w:rsidR="006B6652">
              <w:rPr>
                <w:lang w:val="uk-UA"/>
              </w:rPr>
              <w:t xml:space="preserve">підрозділу детективів </w:t>
            </w:r>
            <w:r w:rsidR="0050008B">
              <w:rPr>
                <w:lang w:val="uk-UA"/>
              </w:rPr>
              <w:t xml:space="preserve">Другого </w:t>
            </w:r>
            <w:r w:rsidR="006B6652">
              <w:rPr>
                <w:lang w:val="uk-UA"/>
              </w:rPr>
              <w:t>Головн</w:t>
            </w:r>
            <w:r w:rsidR="0050008B">
              <w:rPr>
                <w:lang w:val="uk-UA"/>
              </w:rPr>
              <w:t>ого</w:t>
            </w:r>
            <w:r w:rsidR="006B6652">
              <w:rPr>
                <w:lang w:val="uk-UA"/>
              </w:rPr>
              <w:t xml:space="preserve"> підрозділ</w:t>
            </w:r>
            <w:r w:rsidR="0050008B">
              <w:rPr>
                <w:lang w:val="uk-UA"/>
              </w:rPr>
              <w:t>у</w:t>
            </w:r>
            <w:r w:rsidR="006B6652">
              <w:rPr>
                <w:lang w:val="uk-UA"/>
              </w:rPr>
              <w:t xml:space="preserve"> детективів</w:t>
            </w:r>
          </w:p>
        </w:tc>
      </w:tr>
      <w:tr w:rsidR="004C1DAA" w:rsidRPr="000C0FD1" w:rsidTr="00F21C62">
        <w:tc>
          <w:tcPr>
            <w:tcW w:w="835" w:type="dxa"/>
            <w:shd w:val="clear" w:color="auto" w:fill="auto"/>
          </w:tcPr>
          <w:p w:rsidR="004C1DAA" w:rsidRPr="000C0FD1" w:rsidRDefault="00A937DF" w:rsidP="00A937DF">
            <w:pPr>
              <w:ind w:right="-248"/>
              <w:rPr>
                <w:caps/>
                <w:lang w:val="uk-UA"/>
              </w:rPr>
            </w:pPr>
            <w:r w:rsidRPr="000C0FD1">
              <w:rPr>
                <w:caps/>
                <w:lang w:val="uk-UA"/>
              </w:rPr>
              <w:t>1.4.</w:t>
            </w:r>
          </w:p>
        </w:tc>
        <w:tc>
          <w:tcPr>
            <w:tcW w:w="3599" w:type="dxa"/>
            <w:shd w:val="clear" w:color="auto" w:fill="auto"/>
          </w:tcPr>
          <w:p w:rsidR="004C1DAA" w:rsidRPr="000C0FD1" w:rsidRDefault="004C1DAA" w:rsidP="004C1DAA">
            <w:pPr>
              <w:rPr>
                <w:caps/>
                <w:lang w:val="uk-UA"/>
              </w:rPr>
            </w:pPr>
            <w:r w:rsidRPr="000C0FD1">
              <w:rPr>
                <w:lang w:val="uk-UA"/>
              </w:rPr>
              <w:t xml:space="preserve">Категорія посади </w:t>
            </w:r>
          </w:p>
        </w:tc>
        <w:tc>
          <w:tcPr>
            <w:tcW w:w="5947" w:type="dxa"/>
            <w:shd w:val="clear" w:color="auto" w:fill="auto"/>
          </w:tcPr>
          <w:p w:rsidR="004C1DAA" w:rsidRPr="000C0FD1" w:rsidRDefault="00BE63F6" w:rsidP="004C1DAA">
            <w:pPr>
              <w:jc w:val="both"/>
              <w:rPr>
                <w:lang w:val="uk-UA"/>
              </w:rPr>
            </w:pPr>
            <w:r w:rsidRPr="000C0FD1">
              <w:rPr>
                <w:lang w:val="uk-UA"/>
              </w:rPr>
              <w:t>Особа начальницького складу Національного бюро</w:t>
            </w:r>
          </w:p>
        </w:tc>
      </w:tr>
      <w:tr w:rsidR="004C1DAA" w:rsidRPr="0081601A" w:rsidTr="00F21C62">
        <w:tc>
          <w:tcPr>
            <w:tcW w:w="835" w:type="dxa"/>
            <w:shd w:val="clear" w:color="auto" w:fill="auto"/>
          </w:tcPr>
          <w:p w:rsidR="004C1DAA" w:rsidRPr="000C0FD1" w:rsidRDefault="00A937DF" w:rsidP="00A937DF">
            <w:pPr>
              <w:ind w:right="-248"/>
              <w:rPr>
                <w:caps/>
                <w:lang w:val="uk-UA"/>
              </w:rPr>
            </w:pPr>
            <w:r w:rsidRPr="000C0FD1">
              <w:rPr>
                <w:caps/>
                <w:lang w:val="uk-UA"/>
              </w:rPr>
              <w:t>1.5.</w:t>
            </w:r>
          </w:p>
        </w:tc>
        <w:tc>
          <w:tcPr>
            <w:tcW w:w="3599" w:type="dxa"/>
            <w:shd w:val="clear" w:color="auto" w:fill="auto"/>
          </w:tcPr>
          <w:p w:rsidR="004C1DAA" w:rsidRPr="000C0FD1" w:rsidRDefault="004C1DAA" w:rsidP="004C1DAA">
            <w:pPr>
              <w:rPr>
                <w:caps/>
                <w:lang w:val="uk-UA"/>
              </w:rPr>
            </w:pPr>
            <w:r w:rsidRPr="000C0FD1">
              <w:rPr>
                <w:lang w:val="uk-UA"/>
              </w:rPr>
              <w:t>Мета посади</w:t>
            </w:r>
          </w:p>
        </w:tc>
        <w:tc>
          <w:tcPr>
            <w:tcW w:w="5947" w:type="dxa"/>
            <w:shd w:val="clear" w:color="auto" w:fill="auto"/>
          </w:tcPr>
          <w:p w:rsidR="0067655B" w:rsidRPr="000C0FD1" w:rsidRDefault="007400F8" w:rsidP="006C7F06">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sidR="006C7F06">
              <w:rPr>
                <w:lang w:val="uk-UA"/>
              </w:rPr>
              <w:t>.</w:t>
            </w:r>
            <w:r w:rsidRPr="000C0FD1">
              <w:rPr>
                <w:lang w:val="uk-UA"/>
              </w:rPr>
              <w:t xml:space="preserve"> </w:t>
            </w:r>
            <w:r w:rsidR="006C7F06">
              <w:rPr>
                <w:lang w:val="uk-UA"/>
              </w:rPr>
              <w:t xml:space="preserve">Безпосереднє </w:t>
            </w:r>
            <w:r w:rsidR="00B52D8A" w:rsidRPr="000C0FD1">
              <w:rPr>
                <w:lang w:val="uk-UA"/>
              </w:rPr>
              <w:t xml:space="preserve">здійснення </w:t>
            </w:r>
            <w:r w:rsidR="006C7F06">
              <w:rPr>
                <w:lang w:val="uk-UA"/>
              </w:rPr>
              <w:t>досудового розслідування та оперативно-розшукової діяльності із вказаною метою.</w:t>
            </w:r>
          </w:p>
        </w:tc>
      </w:tr>
      <w:tr w:rsidR="004C1DAA" w:rsidRPr="000C0FD1" w:rsidTr="00F21C62">
        <w:tc>
          <w:tcPr>
            <w:tcW w:w="835" w:type="dxa"/>
            <w:shd w:val="clear" w:color="auto" w:fill="auto"/>
          </w:tcPr>
          <w:p w:rsidR="004C1DAA" w:rsidRPr="000C0FD1" w:rsidRDefault="00A937DF" w:rsidP="00A937DF">
            <w:pPr>
              <w:ind w:right="-248"/>
              <w:rPr>
                <w:lang w:val="uk-UA"/>
              </w:rPr>
            </w:pPr>
            <w:r w:rsidRPr="000C0FD1">
              <w:rPr>
                <w:lang w:val="uk-UA"/>
              </w:rPr>
              <w:t>1.6.</w:t>
            </w:r>
          </w:p>
        </w:tc>
        <w:tc>
          <w:tcPr>
            <w:tcW w:w="3599" w:type="dxa"/>
            <w:shd w:val="clear" w:color="auto" w:fill="auto"/>
          </w:tcPr>
          <w:p w:rsidR="004C1DAA" w:rsidRPr="000C0FD1" w:rsidRDefault="004C1DAA" w:rsidP="004C1DAA">
            <w:pPr>
              <w:rPr>
                <w:lang w:val="uk-UA"/>
              </w:rPr>
            </w:pPr>
            <w:r w:rsidRPr="000C0FD1">
              <w:rPr>
                <w:lang w:val="uk-UA"/>
              </w:rPr>
              <w:t>Зміст виконуваної за посадою роботи</w:t>
            </w:r>
          </w:p>
        </w:tc>
        <w:tc>
          <w:tcPr>
            <w:tcW w:w="5947" w:type="dxa"/>
            <w:shd w:val="clear" w:color="auto" w:fill="auto"/>
          </w:tcPr>
          <w:p w:rsidR="003A1988" w:rsidRPr="003A1988" w:rsidRDefault="00414B63" w:rsidP="003A1988">
            <w:pPr>
              <w:numPr>
                <w:ilvl w:val="0"/>
                <w:numId w:val="20"/>
              </w:numPr>
              <w:ind w:left="325" w:hanging="283"/>
              <w:jc w:val="both"/>
              <w:rPr>
                <w:lang w:val="uk-UA"/>
              </w:rPr>
            </w:pPr>
            <w:r w:rsidRPr="000C0FD1">
              <w:rPr>
                <w:lang w:val="uk-UA"/>
              </w:rPr>
              <w:t xml:space="preserve">здійснення керівництва діяльністю підрозділу </w:t>
            </w:r>
            <w:r w:rsidR="00735724" w:rsidRPr="000C0FD1">
              <w:rPr>
                <w:lang w:val="uk-UA"/>
              </w:rPr>
              <w:t xml:space="preserve">детективів </w:t>
            </w:r>
            <w:r w:rsidR="00E04DBE" w:rsidRPr="000C0FD1">
              <w:rPr>
                <w:lang w:val="uk-UA"/>
              </w:rPr>
              <w:t>у визначених напрямках діяльності</w:t>
            </w:r>
            <w:r w:rsidR="006C7F06">
              <w:rPr>
                <w:lang w:val="uk-UA"/>
              </w:rPr>
              <w:t xml:space="preserve"> та згідно з розподілом обов’язків</w:t>
            </w:r>
            <w:r w:rsidR="00E04DBE" w:rsidRPr="000C0FD1">
              <w:rPr>
                <w:lang w:val="uk-UA"/>
              </w:rPr>
              <w:t>;</w:t>
            </w:r>
          </w:p>
          <w:p w:rsidR="0067655B" w:rsidRDefault="00E04DBE" w:rsidP="007400F8">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sidR="006C7F06">
              <w:rPr>
                <w:lang w:val="uk-UA"/>
              </w:rPr>
              <w:t>ь</w:t>
            </w:r>
            <w:r w:rsidRPr="000C0FD1">
              <w:rPr>
                <w:lang w:val="uk-UA"/>
              </w:rPr>
              <w:t xml:space="preserve"> керівника органу досудового розслідування;</w:t>
            </w:r>
          </w:p>
          <w:p w:rsidR="006C5FC0" w:rsidRPr="006C5FC0" w:rsidRDefault="006C5FC0" w:rsidP="006C5FC0">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7655B" w:rsidRPr="000C0FD1" w:rsidRDefault="00E04DBE" w:rsidP="00027A8E">
            <w:pPr>
              <w:numPr>
                <w:ilvl w:val="0"/>
                <w:numId w:val="20"/>
              </w:numPr>
              <w:ind w:left="302"/>
              <w:jc w:val="both"/>
              <w:rPr>
                <w:lang w:val="uk-UA"/>
              </w:rPr>
            </w:pPr>
            <w:r w:rsidRPr="000C0FD1">
              <w:rPr>
                <w:lang w:val="uk-UA"/>
              </w:rPr>
              <w:t>організація</w:t>
            </w:r>
            <w:r w:rsidR="00027A8E">
              <w:rPr>
                <w:lang w:val="uk-UA"/>
              </w:rPr>
              <w:t xml:space="preserve"> та здійснення </w:t>
            </w:r>
            <w:r w:rsidRPr="000C0FD1">
              <w:rPr>
                <w:lang w:val="uk-UA"/>
              </w:rPr>
              <w:t xml:space="preserve">оперативно-розшукової </w:t>
            </w:r>
            <w:r w:rsidR="00027A8E">
              <w:rPr>
                <w:lang w:val="uk-UA"/>
              </w:rPr>
              <w:t xml:space="preserve">діяльності з метою та за наявності підстав, передбачених </w:t>
            </w:r>
            <w:r w:rsidR="00027A8E" w:rsidRPr="00027A8E">
              <w:rPr>
                <w:lang w:val="uk-UA"/>
              </w:rPr>
              <w:t>Законом України «Про оперативно-розшукову діяльність»;</w:t>
            </w:r>
          </w:p>
          <w:p w:rsidR="003A1988" w:rsidRPr="003A1988" w:rsidRDefault="003A1988" w:rsidP="003A1988">
            <w:pPr>
              <w:numPr>
                <w:ilvl w:val="0"/>
                <w:numId w:val="20"/>
              </w:numPr>
              <w:ind w:left="302"/>
              <w:jc w:val="both"/>
              <w:rPr>
                <w:lang w:val="uk-UA"/>
              </w:rPr>
            </w:pPr>
            <w:r w:rsidRPr="003A1988">
              <w:rPr>
                <w:lang w:val="uk-UA"/>
              </w:rPr>
              <w:t>участь у здійсненні перспективного, поточного</w:t>
            </w:r>
            <w:r w:rsidR="004F256B">
              <w:rPr>
                <w:lang w:val="uk-UA"/>
              </w:rPr>
              <w:t xml:space="preserve"> та</w:t>
            </w:r>
            <w:r w:rsidRPr="003A1988">
              <w:rPr>
                <w:lang w:val="uk-UA"/>
              </w:rPr>
              <w:t xml:space="preserve">  оперативного планування діяльності Національного бюро;</w:t>
            </w:r>
          </w:p>
          <w:p w:rsidR="0067655B" w:rsidRPr="000C0FD1" w:rsidRDefault="003A1988" w:rsidP="003A1988">
            <w:pPr>
              <w:numPr>
                <w:ilvl w:val="0"/>
                <w:numId w:val="20"/>
              </w:numPr>
              <w:ind w:left="302"/>
              <w:jc w:val="both"/>
              <w:rPr>
                <w:lang w:val="uk-UA"/>
              </w:rPr>
            </w:pPr>
            <w:r w:rsidRPr="003A1988">
              <w:rPr>
                <w:lang w:val="uk-UA"/>
              </w:rPr>
              <w:t xml:space="preserve"> розробка перспективних, п</w:t>
            </w:r>
            <w:r w:rsidR="004F256B">
              <w:rPr>
                <w:lang w:val="uk-UA"/>
              </w:rPr>
              <w:t xml:space="preserve">оточних та оперативних планів </w:t>
            </w:r>
            <w:r w:rsidRPr="003A1988">
              <w:rPr>
                <w:lang w:val="uk-UA"/>
              </w:rPr>
              <w:t>підрозділу детективів;</w:t>
            </w:r>
          </w:p>
          <w:p w:rsidR="0067655B" w:rsidRPr="000C0FD1" w:rsidRDefault="007400F8" w:rsidP="007400F8">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67655B" w:rsidRPr="000C0FD1" w:rsidRDefault="007400F8" w:rsidP="007400F8">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sidR="003A1988">
              <w:rPr>
                <w:lang w:val="uk-UA"/>
              </w:rPr>
              <w:t>ності, досудового розслідування, а також участь у міжнародному поліцейському співробітництві;</w:t>
            </w:r>
          </w:p>
          <w:p w:rsidR="0067655B" w:rsidRPr="000C0FD1" w:rsidRDefault="006C5FC0" w:rsidP="007400F8">
            <w:pPr>
              <w:numPr>
                <w:ilvl w:val="0"/>
                <w:numId w:val="20"/>
              </w:numPr>
              <w:ind w:left="325" w:hanging="283"/>
              <w:jc w:val="both"/>
              <w:rPr>
                <w:lang w:val="uk-UA"/>
              </w:rPr>
            </w:pPr>
            <w:r>
              <w:rPr>
                <w:lang w:val="uk-UA"/>
              </w:rPr>
              <w:t>участь в організації</w:t>
            </w:r>
            <w:r w:rsidR="00735724" w:rsidRPr="000C0FD1">
              <w:rPr>
                <w:lang w:val="uk-UA"/>
              </w:rPr>
              <w:t xml:space="preserve"> взаємодії підрозділу</w:t>
            </w:r>
            <w:r w:rsidR="007400F8" w:rsidRPr="000C0FD1">
              <w:rPr>
                <w:lang w:val="uk-UA"/>
              </w:rPr>
              <w:t xml:space="preserve"> детективів</w:t>
            </w:r>
            <w:r w:rsidR="002C768F" w:rsidRPr="000C0FD1">
              <w:rPr>
                <w:lang w:val="uk-UA"/>
              </w:rPr>
              <w:t xml:space="preserve"> </w:t>
            </w:r>
            <w:r w:rsidR="007400F8" w:rsidRPr="000C0FD1">
              <w:rPr>
                <w:lang w:val="uk-UA"/>
              </w:rPr>
              <w:t>з іншими правоохоронними органами з питань проведення досудових розслідувань;</w:t>
            </w:r>
          </w:p>
          <w:p w:rsidR="0067655B" w:rsidRPr="000C0FD1" w:rsidRDefault="007400F8" w:rsidP="007400F8">
            <w:pPr>
              <w:numPr>
                <w:ilvl w:val="0"/>
                <w:numId w:val="20"/>
              </w:numPr>
              <w:ind w:left="325" w:hanging="283"/>
              <w:jc w:val="both"/>
              <w:rPr>
                <w:lang w:val="uk-UA"/>
              </w:rPr>
            </w:pPr>
            <w:r w:rsidRPr="000C0FD1">
              <w:rPr>
                <w:lang w:val="uk-UA"/>
              </w:rPr>
              <w:t>забезпечення контролю за дотриманням службової</w:t>
            </w:r>
            <w:r w:rsidR="003A1988">
              <w:rPr>
                <w:lang w:val="uk-UA"/>
              </w:rPr>
              <w:t xml:space="preserve"> та виконавської </w:t>
            </w:r>
            <w:r w:rsidRPr="000C0FD1">
              <w:rPr>
                <w:lang w:val="uk-UA"/>
              </w:rPr>
              <w:t>дисципліни серед підлеглих;</w:t>
            </w:r>
          </w:p>
          <w:p w:rsidR="007400F8" w:rsidRPr="000C0FD1" w:rsidRDefault="007400F8" w:rsidP="007400F8">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937DF" w:rsidP="00A824EB">
            <w:pPr>
              <w:jc w:val="center"/>
              <w:rPr>
                <w:lang w:val="uk-UA"/>
              </w:rPr>
            </w:pPr>
            <w:r w:rsidRPr="000C0FD1">
              <w:rPr>
                <w:lang w:val="uk-UA"/>
              </w:rPr>
              <w:t>2</w:t>
            </w:r>
            <w:r w:rsidR="00A824EB" w:rsidRPr="000C0FD1">
              <w:rPr>
                <w:lang w:val="uk-UA"/>
              </w:rPr>
              <w:t>.1</w:t>
            </w:r>
            <w:r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0C0FD1" w:rsidRDefault="0050008B" w:rsidP="005C1DE6">
            <w:pPr>
              <w:jc w:val="both"/>
              <w:rPr>
                <w:lang w:val="uk-UA"/>
              </w:rPr>
            </w:pPr>
            <w:r>
              <w:rPr>
                <w:lang w:val="uk-UA"/>
              </w:rPr>
              <w:t>Вища</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0C0FD1" w:rsidRDefault="005C1DE6" w:rsidP="005C1DE6">
            <w:pPr>
              <w:jc w:val="both"/>
              <w:rPr>
                <w:lang w:val="uk-UA"/>
              </w:rPr>
            </w:pPr>
            <w:r w:rsidRPr="000C0FD1">
              <w:rPr>
                <w:lang w:val="uk-UA"/>
              </w:rPr>
              <w:t>Магістр (спеціаліст)</w:t>
            </w:r>
            <w:r w:rsidR="0050008B">
              <w:rPr>
                <w:lang w:val="uk-UA"/>
              </w:rPr>
              <w:t xml:space="preserve"> </w:t>
            </w:r>
          </w:p>
        </w:tc>
      </w:tr>
      <w:tr w:rsidR="004C1DAA" w:rsidRPr="003A1988" w:rsidTr="00F21C62">
        <w:tc>
          <w:tcPr>
            <w:tcW w:w="835" w:type="dxa"/>
            <w:shd w:val="clear" w:color="auto" w:fill="auto"/>
          </w:tcPr>
          <w:p w:rsidR="004C1DAA" w:rsidRPr="000C0FD1" w:rsidRDefault="00A937DF" w:rsidP="00A824EB">
            <w:pPr>
              <w:jc w:val="center"/>
              <w:rPr>
                <w:caps/>
                <w:lang w:val="uk-UA"/>
              </w:rPr>
            </w:pPr>
            <w:r w:rsidRPr="000C0FD1">
              <w:rPr>
                <w:caps/>
                <w:lang w:val="uk-UA"/>
              </w:rPr>
              <w:t>2.</w:t>
            </w:r>
            <w:r w:rsidR="004C1DAA"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0C0FD1" w:rsidRDefault="006C5FC0" w:rsidP="004F256B">
            <w:pPr>
              <w:jc w:val="both"/>
              <w:rPr>
                <w:lang w:val="uk-UA"/>
              </w:rPr>
            </w:pPr>
            <w:r w:rsidRPr="000C0FD1">
              <w:rPr>
                <w:shd w:val="clear" w:color="auto" w:fill="FFFFFF"/>
                <w:lang w:val="uk-UA"/>
              </w:rPr>
              <w:t>Стаж роботи, пов’язаної з проведенням оперативно-розшукової діяль</w:t>
            </w:r>
            <w:r>
              <w:rPr>
                <w:shd w:val="clear" w:color="auto" w:fill="FFFFFF"/>
                <w:lang w:val="uk-UA"/>
              </w:rPr>
              <w:t>ності,</w:t>
            </w:r>
            <w:r w:rsidRPr="000C0FD1">
              <w:rPr>
                <w:shd w:val="clear" w:color="auto" w:fill="FFFFFF"/>
                <w:lang w:val="uk-UA"/>
              </w:rPr>
              <w:t xml:space="preserve"> досудового розслідування </w:t>
            </w:r>
            <w:r>
              <w:rPr>
                <w:shd w:val="clear" w:color="auto" w:fill="FFFFFF"/>
                <w:lang w:val="uk-UA"/>
              </w:rPr>
              <w:t xml:space="preserve">та/або процесуального керівництва </w:t>
            </w:r>
            <w:r w:rsidRPr="000C0FD1">
              <w:rPr>
                <w:shd w:val="clear" w:color="auto" w:fill="FFFFFF"/>
                <w:lang w:val="uk-UA"/>
              </w:rPr>
              <w:t xml:space="preserve">не менше </w:t>
            </w:r>
            <w:r w:rsidR="00880588">
              <w:rPr>
                <w:shd w:val="clear" w:color="auto" w:fill="FFFFFF"/>
                <w:lang w:val="uk-UA"/>
              </w:rPr>
              <w:t>шести</w:t>
            </w:r>
            <w:r w:rsidRPr="000C0FD1">
              <w:rPr>
                <w:shd w:val="clear" w:color="auto" w:fill="FFFFFF"/>
                <w:lang w:val="uk-UA"/>
              </w:rPr>
              <w:t xml:space="preserve"> років, з них на керівних посадах – не менше </w:t>
            </w:r>
            <w:r w:rsidR="00880588">
              <w:rPr>
                <w:shd w:val="clear" w:color="auto" w:fill="FFFFFF"/>
                <w:lang w:val="uk-UA"/>
              </w:rPr>
              <w:t>двох</w:t>
            </w:r>
            <w:r>
              <w:rPr>
                <w:shd w:val="clear" w:color="auto" w:fill="FFFFFF"/>
                <w:lang w:val="uk-UA"/>
              </w:rPr>
              <w:t xml:space="preserve"> </w:t>
            </w:r>
            <w:r w:rsidRPr="000C0FD1">
              <w:rPr>
                <w:shd w:val="clear" w:color="auto" w:fill="FFFFFF"/>
                <w:lang w:val="uk-UA"/>
              </w:rPr>
              <w:t xml:space="preserve">років та/або </w:t>
            </w:r>
            <w:r w:rsidRPr="000C0FD1">
              <w:rPr>
                <w:spacing w:val="-6"/>
                <w:shd w:val="clear" w:color="auto" w:fill="FFFFFF"/>
                <w:lang w:val="uk-UA"/>
              </w:rPr>
              <w:t>стаж роботи в Головному підрозділі детективів,</w:t>
            </w:r>
            <w:r w:rsidRPr="000C0FD1">
              <w:rPr>
                <w:shd w:val="clear" w:color="auto" w:fill="FFFFFF"/>
                <w:lang w:val="uk-UA"/>
              </w:rPr>
              <w:t xml:space="preserve"> Управлінні внутрішнього контролю</w:t>
            </w:r>
            <w:r w:rsidR="0050008B">
              <w:rPr>
                <w:spacing w:val="-6"/>
                <w:shd w:val="clear" w:color="auto" w:fill="FFFFFF"/>
                <w:lang w:val="uk-UA"/>
              </w:rPr>
              <w:t xml:space="preserve"> </w:t>
            </w:r>
            <w:r w:rsidRPr="000C0FD1">
              <w:rPr>
                <w:spacing w:val="-6"/>
                <w:shd w:val="clear" w:color="auto" w:fill="FFFFFF"/>
                <w:lang w:val="uk-UA"/>
              </w:rPr>
              <w:t>Національного антикорупційного</w:t>
            </w:r>
            <w:r w:rsidRPr="000C0FD1">
              <w:rPr>
                <w:shd w:val="clear" w:color="auto" w:fill="FFFFFF"/>
                <w:lang w:val="uk-UA"/>
              </w:rPr>
              <w:t xml:space="preserve"> </w:t>
            </w:r>
            <w:r w:rsidRPr="000C0FD1">
              <w:rPr>
                <w:spacing w:val="-6"/>
                <w:shd w:val="clear" w:color="auto" w:fill="FFFFFF"/>
                <w:lang w:val="uk-UA"/>
              </w:rPr>
              <w:t xml:space="preserve">бюро України не менше </w:t>
            </w:r>
            <w:r w:rsidRPr="00B40D37">
              <w:rPr>
                <w:spacing w:val="-6"/>
                <w:shd w:val="clear" w:color="auto" w:fill="FFFFFF"/>
                <w:lang w:val="uk-UA"/>
              </w:rPr>
              <w:t>трьох</w:t>
            </w:r>
            <w:r w:rsidRPr="000C0FD1">
              <w:rPr>
                <w:spacing w:val="-6"/>
                <w:shd w:val="clear" w:color="auto" w:fill="FFFFFF"/>
                <w:lang w:val="uk-UA"/>
              </w:rPr>
              <w:t xml:space="preserve"> рок</w:t>
            </w:r>
            <w:r>
              <w:rPr>
                <w:spacing w:val="-6"/>
                <w:shd w:val="clear" w:color="auto" w:fill="FFFFFF"/>
                <w:lang w:val="uk-UA"/>
              </w:rPr>
              <w:t>ів.</w:t>
            </w:r>
          </w:p>
        </w:tc>
      </w:tr>
      <w:tr w:rsidR="005C1DE6" w:rsidRPr="003A1988" w:rsidTr="00F21C62">
        <w:tc>
          <w:tcPr>
            <w:tcW w:w="835" w:type="dxa"/>
            <w:shd w:val="clear" w:color="auto" w:fill="auto"/>
          </w:tcPr>
          <w:p w:rsidR="005C1DE6" w:rsidRPr="000C0FD1" w:rsidDel="00E7634A" w:rsidRDefault="00A937DF" w:rsidP="00A824EB">
            <w:pPr>
              <w:jc w:val="center"/>
              <w:rPr>
                <w:caps/>
                <w:lang w:val="uk-UA"/>
              </w:rPr>
            </w:pPr>
            <w:r w:rsidRPr="000C0FD1">
              <w:rPr>
                <w:caps/>
                <w:lang w:val="uk-UA"/>
              </w:rPr>
              <w:t>2.</w:t>
            </w:r>
            <w:r w:rsidR="005C1DE6"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0C0FD1" w:rsidRDefault="002078C0" w:rsidP="005C1DE6">
            <w:pPr>
              <w:jc w:val="both"/>
              <w:rPr>
                <w:lang w:val="uk-UA"/>
              </w:rPr>
            </w:pPr>
            <w:r w:rsidRPr="000C0FD1">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2.1.4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0C0FD1" w:rsidRDefault="00F21C62" w:rsidP="00F21C62">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747ED5" w:rsidRPr="000C0FD1" w:rsidTr="00F21C62">
        <w:tc>
          <w:tcPr>
            <w:tcW w:w="835" w:type="dxa"/>
            <w:shd w:val="clear" w:color="auto" w:fill="auto"/>
          </w:tcPr>
          <w:p w:rsidR="00747ED5" w:rsidRPr="000C0FD1" w:rsidRDefault="00A937DF" w:rsidP="00A824EB">
            <w:pPr>
              <w:jc w:val="center"/>
              <w:rPr>
                <w:caps/>
                <w:lang w:val="en-US"/>
              </w:rPr>
            </w:pPr>
            <w:r w:rsidRPr="000C0FD1">
              <w:rPr>
                <w:caps/>
                <w:lang w:val="uk-UA"/>
              </w:rPr>
              <w:t>2.</w:t>
            </w:r>
            <w:r w:rsidR="00747ED5" w:rsidRPr="000C0FD1">
              <w:rPr>
                <w:caps/>
                <w:lang w:val="uk-UA"/>
              </w:rPr>
              <w:t>1.</w:t>
            </w:r>
            <w:r w:rsidR="00747ED5"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0C0FD1" w:rsidRDefault="00747ED5" w:rsidP="00904F8F">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0C0FD1" w:rsidRDefault="00FD30A2" w:rsidP="00FD30A2">
            <w:pPr>
              <w:jc w:val="both"/>
              <w:rPr>
                <w:lang w:val="uk-UA"/>
              </w:rPr>
            </w:pPr>
            <w:r w:rsidRPr="000C0FD1">
              <w:rPr>
                <w:lang w:val="uk-UA"/>
              </w:rPr>
              <w:t>Право (спеціальність: право, правознавство, правоохоронна діяльність</w:t>
            </w:r>
            <w:r w:rsidR="005C5A38" w:rsidRPr="000C0FD1">
              <w:rPr>
                <w:lang w:val="uk-UA"/>
              </w:rPr>
              <w:t>, державна безпека</w:t>
            </w:r>
            <w:r w:rsidRPr="000C0FD1">
              <w:rPr>
                <w:lang w:val="uk-UA"/>
              </w:rPr>
              <w:t>)</w:t>
            </w:r>
          </w:p>
        </w:tc>
      </w:tr>
      <w:tr w:rsidR="00FD30A2" w:rsidRPr="004C78E4"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0C0FD1" w:rsidRDefault="00D1683F" w:rsidP="00FD30A2">
            <w:pPr>
              <w:jc w:val="both"/>
              <w:rPr>
                <w:i/>
                <w:highlight w:val="yellow"/>
                <w:lang w:val="uk-UA"/>
              </w:rPr>
            </w:pPr>
            <w:r w:rsidRPr="00D1683F">
              <w:rPr>
                <w:lang w:val="uk-UA"/>
              </w:rPr>
              <w:t>Досвід проведення оперативно-розшукових комбінацій, комплексу 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lastRenderedPageBreak/>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FD30A2" w:rsidRPr="000C0FD1">
              <w:rPr>
                <w:caps/>
                <w:lang w:val="uk-UA"/>
              </w:rPr>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lastRenderedPageBreak/>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5A48A0"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2.10</w:t>
            </w:r>
          </w:p>
        </w:tc>
        <w:tc>
          <w:tcPr>
            <w:tcW w:w="3599" w:type="dxa"/>
            <w:shd w:val="clear" w:color="auto" w:fill="auto"/>
          </w:tcPr>
          <w:p w:rsidR="00FF09E4" w:rsidRPr="000C0FD1" w:rsidRDefault="00FF09E4" w:rsidP="00FD30A2">
            <w:pPr>
              <w:spacing w:line="290" w:lineRule="exact"/>
              <w:rPr>
                <w:lang w:val="uk-UA"/>
              </w:rPr>
            </w:pPr>
            <w:r w:rsidRPr="000C0FD1">
              <w:rPr>
                <w:lang w:val="uk-UA"/>
              </w:rPr>
              <w:t>Сприйняття змін</w:t>
            </w:r>
          </w:p>
        </w:tc>
        <w:tc>
          <w:tcPr>
            <w:tcW w:w="5947" w:type="dxa"/>
            <w:shd w:val="clear" w:color="auto" w:fill="auto"/>
          </w:tcPr>
          <w:p w:rsidR="00FF09E4" w:rsidRPr="000C0FD1" w:rsidRDefault="00FF09E4" w:rsidP="00FF09E4">
            <w:pPr>
              <w:spacing w:line="256" w:lineRule="auto"/>
              <w:jc w:val="both"/>
              <w:rPr>
                <w:lang w:val="uk-UA"/>
              </w:rPr>
            </w:pPr>
            <w:r w:rsidRPr="000C0FD1">
              <w:rPr>
                <w:rFonts w:eastAsia="Calibri"/>
                <w:lang w:val="uk-UA"/>
              </w:rPr>
              <w:t xml:space="preserve">    Адаптація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F09E4"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F21C62" w:rsidP="00F21C62">
            <w:pPr>
              <w:ind w:right="-113"/>
              <w:jc w:val="center"/>
              <w:rPr>
                <w:caps/>
                <w:lang w:val="uk-UA"/>
              </w:rPr>
            </w:pPr>
            <w:r w:rsidRPr="000C0FD1">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Default="00F21C62" w:rsidP="00F21C62">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p>
          <w:p w:rsidR="00F21C62" w:rsidRDefault="00F21C62" w:rsidP="00F21C62">
            <w:pPr>
              <w:numPr>
                <w:ilvl w:val="0"/>
                <w:numId w:val="26"/>
              </w:numPr>
              <w:ind w:left="298" w:hanging="298"/>
              <w:jc w:val="both"/>
              <w:rPr>
                <w:rFonts w:cs="Calibri"/>
                <w:szCs w:val="20"/>
                <w:lang w:val="uk-UA" w:eastAsia="uk-UA"/>
              </w:rPr>
            </w:pPr>
            <w:r>
              <w:rPr>
                <w:rFonts w:cs="Calibri"/>
                <w:szCs w:val="20"/>
                <w:lang w:val="uk-UA" w:eastAsia="uk-UA"/>
              </w:rPr>
              <w:t>психологічне тестування.</w:t>
            </w:r>
          </w:p>
        </w:tc>
      </w:tr>
      <w:tr w:rsidR="00F21C62" w:rsidRPr="000C0FD1" w:rsidTr="00F21C62">
        <w:tc>
          <w:tcPr>
            <w:tcW w:w="835" w:type="dxa"/>
            <w:shd w:val="clear" w:color="auto" w:fill="auto"/>
          </w:tcPr>
          <w:p w:rsidR="00F21C62" w:rsidRPr="000C0FD1" w:rsidRDefault="00F21C62" w:rsidP="00F21C62">
            <w:pPr>
              <w:jc w:val="center"/>
              <w:rPr>
                <w:caps/>
                <w:lang w:val="uk-UA"/>
              </w:rPr>
            </w:pPr>
            <w:r w:rsidRPr="000C0FD1">
              <w:rPr>
                <w:caps/>
                <w:lang w:val="uk-UA"/>
              </w:rPr>
              <w:t>3.2.</w:t>
            </w:r>
          </w:p>
        </w:tc>
        <w:tc>
          <w:tcPr>
            <w:tcW w:w="3599" w:type="dxa"/>
            <w:shd w:val="clear" w:color="auto" w:fill="auto"/>
          </w:tcPr>
          <w:p w:rsidR="00F21C62" w:rsidRPr="000C0FD1" w:rsidRDefault="00F21C62" w:rsidP="00F21C62">
            <w:pPr>
              <w:rPr>
                <w:lang w:val="uk-UA"/>
              </w:rPr>
            </w:pPr>
            <w:r w:rsidRPr="000C0FD1">
              <w:rPr>
                <w:lang w:val="uk-UA"/>
              </w:rPr>
              <w:t>Перелік документів</w:t>
            </w:r>
          </w:p>
        </w:tc>
        <w:tc>
          <w:tcPr>
            <w:tcW w:w="5947" w:type="dxa"/>
            <w:shd w:val="clear" w:color="auto" w:fill="auto"/>
          </w:tcPr>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1)</w:t>
            </w:r>
            <w:r w:rsidR="005A5AFA">
              <w:rPr>
                <w:rFonts w:cs="Calibri"/>
                <w:szCs w:val="20"/>
                <w:lang w:val="uk-UA" w:eastAsia="uk-UA"/>
              </w:rPr>
              <w:t xml:space="preserve"> </w:t>
            </w:r>
            <w:r w:rsidR="005A5AFA" w:rsidRPr="005A5AFA">
              <w:rPr>
                <w:rFonts w:cs="Calibri"/>
                <w:szCs w:val="20"/>
                <w:lang w:val="uk-UA" w:eastAsia="uk-UA"/>
              </w:rPr>
              <w:t>заява, підписана електронним підписом,  про участь у конкурсі встановленого зразка або письмова заява, якщо має на те підтверджені документами законні підстави або це визначено в умовах конкурсу</w:t>
            </w:r>
            <w:r w:rsidRPr="00F21C62">
              <w:rPr>
                <w:rFonts w:cs="Calibri"/>
                <w:szCs w:val="20"/>
                <w:lang w:val="uk-UA" w:eastAsia="uk-UA"/>
              </w:rPr>
              <w:t>;</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 xml:space="preserve">2) </w:t>
            </w:r>
            <w:r w:rsidR="005A5AFA" w:rsidRPr="0012628E">
              <w:rPr>
                <w:lang w:val="uk-UA"/>
              </w:rPr>
              <w:t>анкет</w:t>
            </w:r>
            <w:r w:rsidR="005A5AFA">
              <w:rPr>
                <w:lang w:val="uk-UA"/>
              </w:rPr>
              <w:t>а</w:t>
            </w:r>
            <w:r w:rsidR="005A5AFA" w:rsidRPr="0012628E">
              <w:rPr>
                <w:lang w:val="uk-UA"/>
              </w:rPr>
              <w:t xml:space="preserve"> кандидата на посаду до Національного антикорупційного бюро України із заповненням всіх визначених у додатку полів анкети</w:t>
            </w:r>
            <w:r w:rsidRPr="00F21C62">
              <w:rPr>
                <w:rFonts w:cs="Calibri"/>
                <w:szCs w:val="20"/>
                <w:lang w:val="uk-UA" w:eastAsia="uk-UA"/>
              </w:rPr>
              <w:t>;</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3) копі</w:t>
            </w:r>
            <w:r w:rsidR="005A5AFA">
              <w:rPr>
                <w:rFonts w:cs="Calibri"/>
                <w:szCs w:val="20"/>
                <w:lang w:val="uk-UA" w:eastAsia="uk-UA"/>
              </w:rPr>
              <w:t>я</w:t>
            </w:r>
            <w:r w:rsidRPr="00F21C62">
              <w:rPr>
                <w:rFonts w:cs="Calibri"/>
                <w:szCs w:val="20"/>
                <w:lang w:val="uk-UA" w:eastAsia="uk-UA"/>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21C62" w:rsidRPr="00F21C62" w:rsidRDefault="00F21C62" w:rsidP="00F21C62">
            <w:pPr>
              <w:widowControl w:val="0"/>
              <w:spacing w:after="23"/>
              <w:ind w:left="11"/>
              <w:jc w:val="both"/>
              <w:rPr>
                <w:rFonts w:cs="Calibri"/>
                <w:sz w:val="10"/>
                <w:szCs w:val="20"/>
                <w:lang w:eastAsia="uk-UA"/>
              </w:rPr>
            </w:pPr>
            <w:r w:rsidRPr="00F21C62">
              <w:rPr>
                <w:rFonts w:cs="Calibri"/>
                <w:szCs w:val="20"/>
                <w:lang w:val="uk-UA" w:eastAsia="uk-UA"/>
              </w:rPr>
              <w:t>4) копі</w:t>
            </w:r>
            <w:r w:rsidR="005A5AFA">
              <w:rPr>
                <w:rFonts w:cs="Calibri"/>
                <w:szCs w:val="20"/>
                <w:lang w:val="uk-UA" w:eastAsia="uk-UA"/>
              </w:rPr>
              <w:t>я</w:t>
            </w:r>
            <w:r w:rsidRPr="00F21C62">
              <w:rPr>
                <w:rFonts w:cs="Calibri"/>
                <w:szCs w:val="20"/>
                <w:lang w:val="uk-UA" w:eastAsia="uk-UA"/>
              </w:rPr>
              <w:t xml:space="preserve"> декларації особи, уповноваженої на виконання функцій держави або місцевого самоврядування, за минулий рік, подан</w:t>
            </w:r>
            <w:r w:rsidR="005A5AFA">
              <w:rPr>
                <w:rFonts w:cs="Calibri"/>
                <w:szCs w:val="20"/>
                <w:lang w:val="uk-UA" w:eastAsia="uk-UA"/>
              </w:rPr>
              <w:t>а</w:t>
            </w:r>
            <w:r w:rsidRPr="00F21C62">
              <w:rPr>
                <w:rFonts w:cs="Calibri"/>
                <w:szCs w:val="20"/>
                <w:lang w:val="uk-UA" w:eastAsia="uk-UA"/>
              </w:rPr>
              <w:t xml:space="preserve"> у порядку, встановленому Законом України «Про запобігання корупції», як кандидата на посаду; </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 xml:space="preserve">5) </w:t>
            </w:r>
            <w:r w:rsidR="005A5AFA" w:rsidRPr="00FC4853">
              <w:rPr>
                <w:lang w:val="uk-UA"/>
              </w:rPr>
              <w:t>заява про відсутність</w:t>
            </w:r>
            <w:r w:rsidR="005A5AFA">
              <w:rPr>
                <w:lang w:val="uk-UA"/>
              </w:rPr>
              <w:t xml:space="preserve"> заборгованості </w:t>
            </w:r>
            <w:r w:rsidR="005A5AFA" w:rsidRPr="0012628E">
              <w:rPr>
                <w:lang w:val="uk-UA"/>
              </w:rPr>
              <w:t xml:space="preserve">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w:t>
            </w:r>
            <w:r w:rsidR="005A5AFA" w:rsidRPr="0012628E">
              <w:rPr>
                <w:lang w:val="uk-UA"/>
              </w:rPr>
              <w:lastRenderedPageBreak/>
              <w:t>примусового виконання</w:t>
            </w:r>
            <w:r w:rsidRPr="00F21C62">
              <w:rPr>
                <w:rFonts w:cs="Calibri"/>
                <w:szCs w:val="20"/>
                <w:lang w:eastAsia="uk-UA"/>
              </w:rPr>
              <w:t>.</w:t>
            </w:r>
          </w:p>
          <w:p w:rsidR="00F21C62" w:rsidRPr="00F21C62" w:rsidRDefault="00F21C62" w:rsidP="00F21C62">
            <w:pPr>
              <w:widowControl w:val="0"/>
              <w:spacing w:after="23"/>
              <w:ind w:left="11" w:firstLine="589"/>
              <w:jc w:val="both"/>
              <w:rPr>
                <w:rFonts w:cs="Calibri"/>
                <w:sz w:val="10"/>
                <w:szCs w:val="20"/>
                <w:lang w:eastAsia="uk-UA"/>
              </w:rPr>
            </w:pPr>
          </w:p>
          <w:p w:rsidR="00F21C62" w:rsidRPr="00F21C62" w:rsidRDefault="00F21C62" w:rsidP="00F21C62">
            <w:pPr>
              <w:widowControl w:val="0"/>
              <w:spacing w:after="23"/>
              <w:ind w:left="11" w:firstLine="589"/>
              <w:jc w:val="both"/>
              <w:rPr>
                <w:rFonts w:cs="Calibri"/>
                <w:szCs w:val="20"/>
                <w:lang w:val="uk-UA" w:eastAsia="uk-UA"/>
              </w:rPr>
            </w:pPr>
            <w:r w:rsidRPr="00F21C62">
              <w:rPr>
                <w:rFonts w:cs="Calibri"/>
                <w:szCs w:val="20"/>
                <w:lang w:val="uk-UA" w:eastAsia="uk-UA"/>
              </w:rPr>
              <w:t xml:space="preserve">Надіслана особою, яка бажає взяти участь </w:t>
            </w:r>
            <w:r w:rsidRPr="00F21C62">
              <w:rPr>
                <w:rFonts w:cs="Calibri"/>
                <w:szCs w:val="20"/>
                <w:lang w:val="uk-UA" w:eastAsia="uk-UA"/>
              </w:rPr>
              <w:br/>
              <w:t>у конкурсі, лише заява або резюме не реєструється як вхідний документ та повертається на зворотн</w:t>
            </w:r>
            <w:r w:rsidR="006B6652">
              <w:rPr>
                <w:rFonts w:cs="Calibri"/>
                <w:szCs w:val="20"/>
                <w:lang w:val="uk-UA" w:eastAsia="uk-UA"/>
              </w:rPr>
              <w:t>у</w:t>
            </w:r>
            <w:r w:rsidRPr="00F21C62">
              <w:rPr>
                <w:rFonts w:cs="Calibri"/>
                <w:szCs w:val="20"/>
                <w:lang w:val="uk-UA" w:eastAsia="uk-UA"/>
              </w:rPr>
              <w:t xml:space="preserve"> адресу запитувача із зазначенням відповідних коментарів.</w:t>
            </w:r>
          </w:p>
          <w:p w:rsidR="00F21C62" w:rsidRPr="00F21C62" w:rsidRDefault="00F21C62" w:rsidP="00F21C62">
            <w:pPr>
              <w:widowControl w:val="0"/>
              <w:spacing w:after="23"/>
              <w:ind w:left="11" w:firstLine="589"/>
              <w:jc w:val="both"/>
              <w:rPr>
                <w:rFonts w:cs="Calibri"/>
                <w:szCs w:val="20"/>
                <w:lang w:val="uk-UA" w:eastAsia="uk-UA"/>
              </w:rPr>
            </w:pPr>
            <w:r w:rsidRPr="00F21C62">
              <w:rPr>
                <w:rFonts w:cs="Calibri"/>
                <w:szCs w:val="20"/>
                <w:lang w:val="uk-UA" w:eastAsia="uk-UA"/>
              </w:rPr>
              <w:t>Працівники Національного бюро, які бажають взяти участь у конкурсі, подають лише заяву про участь у конкурсі, яка готується та подається в електронному вигляді на ім'я голови Конкурсної комісії та</w:t>
            </w:r>
            <w:r w:rsidR="000B11B7">
              <w:rPr>
                <w:rFonts w:cs="Calibri"/>
                <w:szCs w:val="20"/>
                <w:lang w:val="uk-UA" w:eastAsia="uk-UA"/>
              </w:rPr>
              <w:t xml:space="preserve"> підписується КЕП у СЕД "АСКОД".</w:t>
            </w:r>
          </w:p>
          <w:p w:rsidR="00F21C62" w:rsidRPr="00F21C62" w:rsidRDefault="00F21C62" w:rsidP="00F21C62">
            <w:pPr>
              <w:widowControl w:val="0"/>
              <w:ind w:firstLine="284"/>
              <w:jc w:val="both"/>
              <w:rPr>
                <w:rFonts w:cs="Calibri"/>
                <w:sz w:val="10"/>
                <w:szCs w:val="20"/>
                <w:lang w:val="uk-UA" w:eastAsia="uk-UA"/>
              </w:rPr>
            </w:pPr>
          </w:p>
          <w:p w:rsidR="00F21C62" w:rsidRPr="00F21C62" w:rsidRDefault="00F21C62" w:rsidP="00F21C62">
            <w:pPr>
              <w:widowControl w:val="0"/>
              <w:tabs>
                <w:tab w:val="left" w:pos="273"/>
              </w:tabs>
              <w:spacing w:line="272" w:lineRule="exact"/>
              <w:ind w:firstLine="601"/>
              <w:jc w:val="both"/>
              <w:rPr>
                <w:rFonts w:cs="Calibri"/>
                <w:szCs w:val="20"/>
                <w:lang w:val="uk-UA" w:eastAsia="uk-UA"/>
              </w:rPr>
            </w:pPr>
            <w:r w:rsidRPr="00F21C62">
              <w:rPr>
                <w:rFonts w:cs="Calibri"/>
                <w:szCs w:val="20"/>
                <w:lang w:val="uk-UA" w:eastAsia="uk-UA"/>
              </w:rPr>
              <w:t xml:space="preserve">Зразки заяв розміщені на офіційному </w:t>
            </w:r>
            <w:proofErr w:type="spellStart"/>
            <w:r w:rsidRPr="00F21C62">
              <w:rPr>
                <w:rFonts w:cs="Calibri"/>
                <w:szCs w:val="20"/>
                <w:lang w:val="uk-UA" w:eastAsia="uk-UA"/>
              </w:rPr>
              <w:t>вебсайті</w:t>
            </w:r>
            <w:proofErr w:type="spellEnd"/>
            <w:r w:rsidRPr="00F21C62">
              <w:rPr>
                <w:rFonts w:cs="Calibri"/>
                <w:szCs w:val="20"/>
                <w:lang w:val="uk-UA" w:eastAsia="uk-UA"/>
              </w:rPr>
              <w:t xml:space="preserve"> Національного бюро (</w:t>
            </w:r>
            <w:hyperlink r:id="rId8" w:history="1">
              <w:r w:rsidRPr="00F21C62">
                <w:rPr>
                  <w:rFonts w:cs="Calibri"/>
                  <w:color w:val="0000FF"/>
                  <w:szCs w:val="20"/>
                  <w:u w:val="single"/>
                  <w:lang w:val="uk-UA" w:eastAsia="uk-UA"/>
                </w:rPr>
                <w:t>https://nabu.gov.ua/poryadok-provedennya-vidkrytogo-konkursu</w:t>
              </w:r>
            </w:hyperlink>
            <w:r w:rsidRPr="00F21C62">
              <w:rPr>
                <w:rFonts w:cs="Calibri"/>
                <w:szCs w:val="20"/>
                <w:lang w:val="uk-UA" w:eastAsia="uk-UA"/>
              </w:rPr>
              <w:t xml:space="preserve"> (Порядок проведення відкритого конкурсу, розділ ІІІ).</w:t>
            </w:r>
          </w:p>
          <w:p w:rsidR="00F21C62" w:rsidRPr="00F21C62" w:rsidRDefault="00F21C62" w:rsidP="00F21C62">
            <w:pPr>
              <w:widowControl w:val="0"/>
              <w:ind w:firstLine="284"/>
              <w:jc w:val="both"/>
              <w:rPr>
                <w:rFonts w:cs="Calibri"/>
                <w:szCs w:val="20"/>
                <w:lang w:val="uk-UA" w:eastAsia="uk-UA"/>
              </w:rPr>
            </w:pPr>
            <w:r w:rsidRPr="00F21C62">
              <w:rPr>
                <w:rFonts w:cs="Calibri"/>
                <w:szCs w:val="20"/>
                <w:lang w:val="uk-UA" w:eastAsia="uk-UA"/>
              </w:rPr>
              <w:t>До участі у конкурсі на зайняття посад осіб начальницького складу Національного бюро, згідно</w:t>
            </w:r>
            <w:r w:rsidR="000B11B7">
              <w:rPr>
                <w:rFonts w:cs="Calibri"/>
                <w:szCs w:val="20"/>
                <w:lang w:val="uk-UA" w:eastAsia="uk-UA"/>
              </w:rPr>
              <w:t xml:space="preserve"> з</w:t>
            </w:r>
            <w:r w:rsidRPr="00F21C62">
              <w:rPr>
                <w:rFonts w:cs="Calibri"/>
                <w:szCs w:val="20"/>
                <w:lang w:val="uk-UA" w:eastAsia="uk-UA"/>
              </w:rPr>
              <w:t xml:space="preserve"> пункт</w:t>
            </w:r>
            <w:r w:rsidR="000B11B7">
              <w:rPr>
                <w:rFonts w:cs="Calibri"/>
                <w:szCs w:val="20"/>
                <w:lang w:val="uk-UA" w:eastAsia="uk-UA"/>
              </w:rPr>
              <w:t>ом</w:t>
            </w:r>
            <w:r w:rsidRPr="00F21C62">
              <w:rPr>
                <w:rFonts w:cs="Calibri"/>
                <w:szCs w:val="20"/>
                <w:lang w:val="uk-UA" w:eastAsia="uk-UA"/>
              </w:rPr>
              <w:t xml:space="preserve"> 4.1. Порядку проведення конкурсу, не допускаються особи:</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які досягли граничного віку перебування на службі;</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які за станом здоров'я не придатні до проходження військової служби;</w:t>
            </w:r>
          </w:p>
          <w:p w:rsidR="00F21C62" w:rsidRPr="000C0FD1" w:rsidRDefault="00F21C62" w:rsidP="00F21C62">
            <w:pPr>
              <w:jc w:val="both"/>
              <w:rPr>
                <w:sz w:val="6"/>
                <w:szCs w:val="6"/>
                <w:lang w:val="uk-UA"/>
              </w:rPr>
            </w:pPr>
            <w:r w:rsidRPr="00F21C62">
              <w:rPr>
                <w:rFonts w:cs="Calibri"/>
                <w:szCs w:val="20"/>
                <w:lang w:val="uk-UA" w:eastAsia="uk-UA"/>
              </w:rPr>
              <w:t>- які звільнені у відставку.</w:t>
            </w:r>
          </w:p>
        </w:tc>
      </w:tr>
      <w:tr w:rsidR="00F21C62" w:rsidRPr="000C0FD1" w:rsidTr="00F21C62">
        <w:tc>
          <w:tcPr>
            <w:tcW w:w="835" w:type="dxa"/>
            <w:shd w:val="clear" w:color="auto" w:fill="auto"/>
          </w:tcPr>
          <w:p w:rsidR="00F21C62" w:rsidRPr="000C0FD1" w:rsidRDefault="00F21C62" w:rsidP="00F21C62">
            <w:pPr>
              <w:ind w:left="-360"/>
              <w:jc w:val="center"/>
              <w:rPr>
                <w:caps/>
                <w:lang w:val="uk-UA"/>
              </w:rPr>
            </w:pPr>
            <w:r w:rsidRPr="000C0FD1">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2E2C6E" w:rsidP="00F21C62">
            <w:pPr>
              <w:jc w:val="both"/>
              <w:rPr>
                <w:sz w:val="10"/>
                <w:szCs w:val="10"/>
                <w:lang w:val="uk-UA"/>
              </w:rPr>
            </w:pPr>
            <w:r>
              <w:rPr>
                <w:kern w:val="36"/>
                <w:lang w:val="uk-UA"/>
              </w:rPr>
              <w:t xml:space="preserve">Протягом </w:t>
            </w:r>
            <w:r>
              <w:rPr>
                <w:kern w:val="36"/>
                <w:lang w:val="en-US"/>
              </w:rPr>
              <w:t>2</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A91626" w:rsidP="00A91626">
            <w:pPr>
              <w:ind w:left="-360"/>
              <w:jc w:val="center"/>
              <w:rPr>
                <w:caps/>
                <w:lang w:val="uk-UA"/>
              </w:rPr>
            </w:pPr>
            <w:r w:rsidRPr="000C0FD1">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w:t>
            </w:r>
            <w:proofErr w:type="spellStart"/>
            <w:r w:rsidRPr="00A91626">
              <w:rPr>
                <w:lang w:val="uk-UA"/>
              </w:rPr>
              <w:t>вебсайті</w:t>
            </w:r>
            <w:proofErr w:type="spellEnd"/>
            <w:r w:rsidRPr="00A91626">
              <w:rPr>
                <w:lang w:val="uk-UA"/>
              </w:rPr>
              <w:t xml:space="preserve">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F21C62" w:rsidP="00F21C62">
            <w:pPr>
              <w:ind w:left="-360"/>
              <w:jc w:val="center"/>
              <w:rPr>
                <w:caps/>
                <w:lang w:val="uk-UA"/>
              </w:rPr>
            </w:pPr>
            <w:r w:rsidRPr="000C0FD1">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w:t>
            </w:r>
            <w:proofErr w:type="spellStart"/>
            <w:r>
              <w:rPr>
                <w:rFonts w:cs="Calibri"/>
                <w:szCs w:val="20"/>
                <w:lang w:val="uk-UA" w:eastAsia="uk-UA"/>
              </w:rPr>
              <w:t>mail</w:t>
            </w:r>
            <w:proofErr w:type="spellEnd"/>
            <w:r>
              <w:rPr>
                <w:rFonts w:cs="Calibri"/>
                <w:szCs w:val="20"/>
                <w:lang w:val="uk-UA" w:eastAsia="uk-UA"/>
              </w:rPr>
              <w:t>: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F21C62" w:rsidP="00F21C62">
            <w:pPr>
              <w:ind w:left="-360"/>
              <w:jc w:val="center"/>
              <w:rPr>
                <w:caps/>
                <w:lang w:val="uk-UA"/>
              </w:rPr>
            </w:pPr>
            <w:r w:rsidRPr="000C0FD1">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F21C62" w:rsidP="00F21C62">
            <w:pPr>
              <w:ind w:left="-360"/>
              <w:jc w:val="center"/>
              <w:rPr>
                <w:caps/>
                <w:lang w:val="uk-UA"/>
              </w:rPr>
            </w:pPr>
            <w:r w:rsidRPr="000C0FD1">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14" w:rsidRDefault="004D0414" w:rsidP="005C3C0A">
      <w:r>
        <w:separator/>
      </w:r>
    </w:p>
  </w:endnote>
  <w:endnote w:type="continuationSeparator" w:id="0">
    <w:p w:rsidR="004D0414" w:rsidRDefault="004D0414"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14" w:rsidRDefault="004D0414" w:rsidP="005C3C0A">
      <w:r>
        <w:separator/>
      </w:r>
    </w:p>
  </w:footnote>
  <w:footnote w:type="continuationSeparator" w:id="0">
    <w:p w:rsidR="004D0414" w:rsidRDefault="004D0414"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6"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3"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6"/>
  </w:num>
  <w:num w:numId="5">
    <w:abstractNumId w:val="22"/>
  </w:num>
  <w:num w:numId="6">
    <w:abstractNumId w:val="23"/>
  </w:num>
  <w:num w:numId="7">
    <w:abstractNumId w:val="12"/>
  </w:num>
  <w:num w:numId="8">
    <w:abstractNumId w:val="3"/>
  </w:num>
  <w:num w:numId="9">
    <w:abstractNumId w:val="0"/>
  </w:num>
  <w:num w:numId="10">
    <w:abstractNumId w:val="24"/>
  </w:num>
  <w:num w:numId="11">
    <w:abstractNumId w:val="13"/>
  </w:num>
  <w:num w:numId="12">
    <w:abstractNumId w:val="5"/>
  </w:num>
  <w:num w:numId="13">
    <w:abstractNumId w:val="10"/>
  </w:num>
  <w:num w:numId="14">
    <w:abstractNumId w:val="16"/>
  </w:num>
  <w:num w:numId="15">
    <w:abstractNumId w:val="2"/>
  </w:num>
  <w:num w:numId="16">
    <w:abstractNumId w:val="25"/>
  </w:num>
  <w:num w:numId="17">
    <w:abstractNumId w:val="1"/>
  </w:num>
  <w:num w:numId="18">
    <w:abstractNumId w:val="15"/>
  </w:num>
  <w:num w:numId="19">
    <w:abstractNumId w:val="19"/>
  </w:num>
  <w:num w:numId="20">
    <w:abstractNumId w:val="4"/>
  </w:num>
  <w:num w:numId="21">
    <w:abstractNumId w:val="9"/>
  </w:num>
  <w:num w:numId="22">
    <w:abstractNumId w:val="21"/>
  </w:num>
  <w:num w:numId="23">
    <w:abstractNumId w:val="8"/>
  </w:num>
  <w:num w:numId="24">
    <w:abstractNumId w:val="17"/>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24ED"/>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40866"/>
    <w:rsid w:val="00147CDA"/>
    <w:rsid w:val="00150D94"/>
    <w:rsid w:val="00154A61"/>
    <w:rsid w:val="00156C2F"/>
    <w:rsid w:val="00157960"/>
    <w:rsid w:val="00167D1A"/>
    <w:rsid w:val="00170662"/>
    <w:rsid w:val="00172BFB"/>
    <w:rsid w:val="0018614D"/>
    <w:rsid w:val="00197E6B"/>
    <w:rsid w:val="001C3AF0"/>
    <w:rsid w:val="001C74ED"/>
    <w:rsid w:val="001D5109"/>
    <w:rsid w:val="001D5F92"/>
    <w:rsid w:val="00203F47"/>
    <w:rsid w:val="00205DDB"/>
    <w:rsid w:val="002078C0"/>
    <w:rsid w:val="002126C7"/>
    <w:rsid w:val="00212D6B"/>
    <w:rsid w:val="002336DB"/>
    <w:rsid w:val="002374CE"/>
    <w:rsid w:val="0024637B"/>
    <w:rsid w:val="00253073"/>
    <w:rsid w:val="002558CE"/>
    <w:rsid w:val="00264BFA"/>
    <w:rsid w:val="00275198"/>
    <w:rsid w:val="002813AE"/>
    <w:rsid w:val="002858F7"/>
    <w:rsid w:val="00290D40"/>
    <w:rsid w:val="002929AA"/>
    <w:rsid w:val="00293821"/>
    <w:rsid w:val="00297E56"/>
    <w:rsid w:val="002A0ECA"/>
    <w:rsid w:val="002A30CC"/>
    <w:rsid w:val="002A34FD"/>
    <w:rsid w:val="002A4401"/>
    <w:rsid w:val="002B49B7"/>
    <w:rsid w:val="002C335E"/>
    <w:rsid w:val="002C5025"/>
    <w:rsid w:val="002C5898"/>
    <w:rsid w:val="002C768F"/>
    <w:rsid w:val="002D7DE4"/>
    <w:rsid w:val="002E0226"/>
    <w:rsid w:val="002E2C6E"/>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F95"/>
    <w:rsid w:val="003A1988"/>
    <w:rsid w:val="003A676E"/>
    <w:rsid w:val="003B145B"/>
    <w:rsid w:val="003C79CF"/>
    <w:rsid w:val="003F4F85"/>
    <w:rsid w:val="00405ACA"/>
    <w:rsid w:val="00414B63"/>
    <w:rsid w:val="00446999"/>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655B"/>
    <w:rsid w:val="006766B2"/>
    <w:rsid w:val="00692ADF"/>
    <w:rsid w:val="00695343"/>
    <w:rsid w:val="00696669"/>
    <w:rsid w:val="006A2E7E"/>
    <w:rsid w:val="006A7994"/>
    <w:rsid w:val="006B6652"/>
    <w:rsid w:val="006B7D2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51C5D"/>
    <w:rsid w:val="008543B0"/>
    <w:rsid w:val="0087291A"/>
    <w:rsid w:val="00880588"/>
    <w:rsid w:val="008845BB"/>
    <w:rsid w:val="00887CBB"/>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1085C"/>
    <w:rsid w:val="0091192E"/>
    <w:rsid w:val="00916856"/>
    <w:rsid w:val="00922D67"/>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60F8"/>
    <w:rsid w:val="00B2081F"/>
    <w:rsid w:val="00B2203A"/>
    <w:rsid w:val="00B24B4B"/>
    <w:rsid w:val="00B52D8A"/>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1C6D"/>
    <w:rsid w:val="00D82103"/>
    <w:rsid w:val="00D85BFA"/>
    <w:rsid w:val="00DA4D38"/>
    <w:rsid w:val="00DA5B10"/>
    <w:rsid w:val="00DC63D0"/>
    <w:rsid w:val="00DC6911"/>
    <w:rsid w:val="00DE0F68"/>
    <w:rsid w:val="00DE5482"/>
    <w:rsid w:val="00DF0977"/>
    <w:rsid w:val="00E00485"/>
    <w:rsid w:val="00E03895"/>
    <w:rsid w:val="00E03941"/>
    <w:rsid w:val="00E04DBE"/>
    <w:rsid w:val="00E2162C"/>
    <w:rsid w:val="00E21AA7"/>
    <w:rsid w:val="00E230D2"/>
    <w:rsid w:val="00E30875"/>
    <w:rsid w:val="00E4232D"/>
    <w:rsid w:val="00E44651"/>
    <w:rsid w:val="00E75FF7"/>
    <w:rsid w:val="00E7634A"/>
    <w:rsid w:val="00E925C2"/>
    <w:rsid w:val="00E971D0"/>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F869"/>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7063</Words>
  <Characters>4026</Characters>
  <Application>Microsoft Office Word</Application>
  <DocSecurity>0</DocSecurity>
  <Lines>33</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11067</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10</cp:revision>
  <cp:lastPrinted>2020-07-13T08:15:00Z</cp:lastPrinted>
  <dcterms:created xsi:type="dcterms:W3CDTF">2025-08-11T15:05:00Z</dcterms:created>
  <dcterms:modified xsi:type="dcterms:W3CDTF">2025-09-04T06:29:00Z</dcterms:modified>
</cp:coreProperties>
</file>