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84" w:rsidRPr="00FC7C32" w:rsidRDefault="00277584" w:rsidP="00594D3D">
      <w:pPr>
        <w:jc w:val="center"/>
        <w:rPr>
          <w:b/>
          <w:sz w:val="28"/>
          <w:szCs w:val="28"/>
        </w:rPr>
      </w:pPr>
      <w:r w:rsidRPr="00FC7C32">
        <w:rPr>
          <w:b/>
          <w:sz w:val="28"/>
          <w:szCs w:val="28"/>
        </w:rPr>
        <w:t>ПРОФІЛЬ ПОСАДИ</w:t>
      </w:r>
    </w:p>
    <w:p w:rsidR="00277584" w:rsidRPr="00FC7C32" w:rsidRDefault="00277584" w:rsidP="00277584">
      <w:pPr>
        <w:jc w:val="center"/>
        <w:rPr>
          <w:b/>
          <w:bCs/>
          <w:sz w:val="28"/>
          <w:szCs w:val="28"/>
        </w:rPr>
      </w:pPr>
      <w:r w:rsidRPr="00FC7C32">
        <w:rPr>
          <w:b/>
          <w:bCs/>
          <w:sz w:val="28"/>
          <w:szCs w:val="28"/>
        </w:rPr>
        <w:t xml:space="preserve"> «Старший оперативний працівник Підрозділу детективів О-2»</w:t>
      </w:r>
    </w:p>
    <w:p w:rsidR="00277584" w:rsidRPr="00FC7C32" w:rsidRDefault="00277584" w:rsidP="00277584">
      <w:pPr>
        <w:jc w:val="center"/>
        <w:rPr>
          <w:b/>
          <w:sz w:val="28"/>
          <w:szCs w:val="28"/>
        </w:rPr>
      </w:pPr>
      <w:r w:rsidRPr="00FC7C32">
        <w:rPr>
          <w:b/>
          <w:sz w:val="28"/>
          <w:szCs w:val="28"/>
        </w:rPr>
        <w:t>Національного антикорупційного бюро України</w:t>
      </w:r>
    </w:p>
    <w:p w:rsidR="00277584" w:rsidRPr="00FC7C32" w:rsidRDefault="00277584" w:rsidP="00277584">
      <w:pPr>
        <w:jc w:val="center"/>
        <w:rPr>
          <w:b/>
          <w:sz w:val="28"/>
          <w:szCs w:val="28"/>
        </w:rPr>
      </w:pPr>
      <w:r w:rsidRPr="00FC7C32">
        <w:rPr>
          <w:b/>
          <w:sz w:val="28"/>
          <w:szCs w:val="28"/>
        </w:rPr>
        <w:t xml:space="preserve">(код </w:t>
      </w:r>
      <w:r w:rsidRPr="00FC7C32">
        <w:rPr>
          <w:b/>
          <w:bCs/>
          <w:sz w:val="28"/>
          <w:szCs w:val="28"/>
        </w:rPr>
        <w:t>П</w:t>
      </w:r>
      <w:r w:rsidR="00FC7C32" w:rsidRPr="00FC7C32">
        <w:rPr>
          <w:b/>
          <w:bCs/>
          <w:sz w:val="28"/>
          <w:szCs w:val="28"/>
        </w:rPr>
        <w:t xml:space="preserve">Д </w:t>
      </w:r>
      <w:r w:rsidRPr="00FC7C32">
        <w:rPr>
          <w:b/>
          <w:bCs/>
          <w:sz w:val="28"/>
          <w:szCs w:val="28"/>
        </w:rPr>
        <w:t>О-2/</w:t>
      </w:r>
      <w:r w:rsidR="00A96EB1">
        <w:rPr>
          <w:b/>
          <w:bCs/>
          <w:sz w:val="28"/>
          <w:szCs w:val="28"/>
        </w:rPr>
        <w:t>44-Р</w:t>
      </w:r>
      <w:r w:rsidR="00FC7C32" w:rsidRPr="00FC7C32">
        <w:rPr>
          <w:b/>
          <w:bCs/>
          <w:sz w:val="28"/>
          <w:szCs w:val="28"/>
        </w:rPr>
        <w:t>/</w:t>
      </w:r>
      <w:r w:rsidR="00A96EB1">
        <w:rPr>
          <w:b/>
          <w:bCs/>
          <w:sz w:val="28"/>
          <w:szCs w:val="28"/>
        </w:rPr>
        <w:t>19.03.2026</w:t>
      </w:r>
      <w:r w:rsidRPr="00FC7C32">
        <w:rPr>
          <w:b/>
          <w:sz w:val="28"/>
          <w:szCs w:val="28"/>
        </w:rPr>
        <w:t>)</w:t>
      </w:r>
    </w:p>
    <w:p w:rsidR="001D143D" w:rsidRPr="00FC7C32" w:rsidRDefault="001D143D" w:rsidP="001D143D">
      <w:pPr>
        <w:jc w:val="center"/>
        <w:rPr>
          <w:b/>
          <w:sz w:val="16"/>
          <w:szCs w:val="16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4111"/>
        <w:gridCol w:w="5387"/>
      </w:tblGrid>
      <w:tr w:rsidR="00FC7C32" w:rsidRPr="00FC7C32" w:rsidTr="00EF100F">
        <w:tc>
          <w:tcPr>
            <w:tcW w:w="4111" w:type="dxa"/>
            <w:shd w:val="clear" w:color="auto" w:fill="auto"/>
          </w:tcPr>
          <w:p w:rsidR="001D143D" w:rsidRPr="00FC7C32" w:rsidRDefault="001D143D" w:rsidP="00EF100F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1D143D" w:rsidRPr="00FC7C32" w:rsidRDefault="001D143D" w:rsidP="00EF100F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C32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FC7C32" w:rsidRPr="00FC7C32" w:rsidTr="00EF100F">
        <w:tc>
          <w:tcPr>
            <w:tcW w:w="4111" w:type="dxa"/>
            <w:shd w:val="clear" w:color="auto" w:fill="auto"/>
          </w:tcPr>
          <w:p w:rsidR="001D143D" w:rsidRPr="00FC7C32" w:rsidRDefault="001D143D" w:rsidP="00EF100F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1D143D" w:rsidRPr="00FC7C32" w:rsidRDefault="001D143D" w:rsidP="00EF100F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D143D" w:rsidRPr="00FC7C32" w:rsidRDefault="001D143D" w:rsidP="00EF100F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7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Директор                                Семен КРИВОНОС</w:t>
            </w:r>
          </w:p>
        </w:tc>
      </w:tr>
      <w:tr w:rsidR="00FC7C32" w:rsidRPr="00FC7C32" w:rsidTr="00EF100F">
        <w:tc>
          <w:tcPr>
            <w:tcW w:w="4111" w:type="dxa"/>
            <w:shd w:val="clear" w:color="auto" w:fill="auto"/>
          </w:tcPr>
          <w:p w:rsidR="001D143D" w:rsidRPr="00FC7C32" w:rsidRDefault="001D143D" w:rsidP="00EF100F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D143D" w:rsidRPr="00FC7C32" w:rsidRDefault="001D143D" w:rsidP="00EF100F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C32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FC7C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7C32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FC7C32" w:rsidRPr="00FC7C32" w:rsidTr="00EF100F">
        <w:tc>
          <w:tcPr>
            <w:tcW w:w="4111" w:type="dxa"/>
            <w:shd w:val="clear" w:color="auto" w:fill="auto"/>
          </w:tcPr>
          <w:p w:rsidR="001D143D" w:rsidRPr="00FC7C32" w:rsidRDefault="001D143D" w:rsidP="00EF100F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1D143D" w:rsidRPr="00FC7C32" w:rsidRDefault="001D143D" w:rsidP="00EF100F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143D" w:rsidRPr="00FC7C32" w:rsidTr="00EF100F">
        <w:tc>
          <w:tcPr>
            <w:tcW w:w="4111" w:type="dxa"/>
            <w:shd w:val="clear" w:color="auto" w:fill="auto"/>
          </w:tcPr>
          <w:p w:rsidR="001D143D" w:rsidRPr="00FC7C32" w:rsidRDefault="001D143D" w:rsidP="00EF100F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1D143D" w:rsidRPr="00FC7C32" w:rsidRDefault="001D143D" w:rsidP="000012CF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C32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0012CF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bookmarkStart w:id="0" w:name="_GoBack"/>
            <w:bookmarkEnd w:id="0"/>
            <w:r w:rsidRPr="00FC7C32">
              <w:rPr>
                <w:rFonts w:ascii="Times New Roman" w:hAnsi="Times New Roman"/>
                <w:sz w:val="24"/>
                <w:szCs w:val="24"/>
                <w:lang w:val="uk-UA"/>
              </w:rPr>
              <w:t>» березня 2026 року</w:t>
            </w:r>
          </w:p>
        </w:tc>
      </w:tr>
    </w:tbl>
    <w:p w:rsidR="001D143D" w:rsidRPr="00FC7C32" w:rsidRDefault="001D143D" w:rsidP="001D143D">
      <w:pPr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109"/>
        <w:gridCol w:w="5704"/>
      </w:tblGrid>
      <w:tr w:rsidR="00FC7C32" w:rsidRPr="00FC7C32" w:rsidTr="00EF100F">
        <w:tc>
          <w:tcPr>
            <w:tcW w:w="816" w:type="dxa"/>
            <w:shd w:val="clear" w:color="auto" w:fill="auto"/>
            <w:vAlign w:val="center"/>
          </w:tcPr>
          <w:p w:rsidR="001D143D" w:rsidRPr="00FC7C32" w:rsidRDefault="001D143D" w:rsidP="00EF100F">
            <w:pPr>
              <w:jc w:val="center"/>
              <w:rPr>
                <w:b/>
                <w:bCs/>
              </w:rPr>
            </w:pPr>
            <w:r w:rsidRPr="00FC7C32">
              <w:rPr>
                <w:b/>
                <w:bCs/>
              </w:rPr>
              <w:t>І</w:t>
            </w:r>
          </w:p>
        </w:tc>
        <w:tc>
          <w:tcPr>
            <w:tcW w:w="8813" w:type="dxa"/>
            <w:gridSpan w:val="2"/>
            <w:shd w:val="clear" w:color="auto" w:fill="auto"/>
            <w:vAlign w:val="center"/>
          </w:tcPr>
          <w:p w:rsidR="001D143D" w:rsidRPr="00FC7C32" w:rsidRDefault="001D143D" w:rsidP="00EF100F">
            <w:pPr>
              <w:jc w:val="center"/>
              <w:rPr>
                <w:b/>
                <w:bCs/>
              </w:rPr>
            </w:pPr>
            <w:r w:rsidRPr="00FC7C32">
              <w:rPr>
                <w:b/>
                <w:bCs/>
              </w:rPr>
              <w:t>ХАРАКТЕРИСТИКА ПОСАДИ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Найменування державного органу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r w:rsidRPr="00FC7C32">
              <w:t>Національне антикорупційне бюро України (далі – Національне бюро).</w:t>
            </w:r>
          </w:p>
        </w:tc>
      </w:tr>
      <w:tr w:rsidR="00FC7C32" w:rsidRPr="00FC7C32" w:rsidTr="00EF100F">
        <w:trPr>
          <w:trHeight w:val="512"/>
        </w:trPr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Найменування структурного підрозділу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r w:rsidRPr="00FC7C32">
              <w:rPr>
                <w:lang w:eastAsia="uk-UA"/>
              </w:rPr>
              <w:t>Підрозділ детективів О-2</w:t>
            </w:r>
            <w:r w:rsidRPr="00FC7C32">
              <w:t>.</w:t>
            </w:r>
          </w:p>
        </w:tc>
      </w:tr>
      <w:tr w:rsidR="00FC7C32" w:rsidRPr="00FC7C32" w:rsidTr="00EF100F">
        <w:trPr>
          <w:trHeight w:val="309"/>
        </w:trPr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Найменування посади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pPr>
              <w:rPr>
                <w:bCs/>
              </w:rPr>
            </w:pPr>
            <w:r w:rsidRPr="00FC7C32">
              <w:rPr>
                <w:bCs/>
              </w:rPr>
              <w:t>Старший оперативний працівник.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numPr>
                <w:ilvl w:val="0"/>
                <w:numId w:val="1"/>
              </w:numPr>
              <w:jc w:val="center"/>
              <w:rPr>
                <w:caps/>
              </w:rPr>
            </w:pP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t xml:space="preserve">Категорія посади 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pPr>
              <w:jc w:val="both"/>
            </w:pPr>
            <w:r w:rsidRPr="00FC7C32">
              <w:rPr>
                <w:bCs/>
              </w:rPr>
              <w:t>Особи начальницького складу Національного бюро, що займають посади, перебування на яких пов’язане з державною таємницею у зв’язку з безпосереднім здійсненням оперативно-розшукової діяльності.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numPr>
                <w:ilvl w:val="0"/>
                <w:numId w:val="1"/>
              </w:numPr>
              <w:jc w:val="center"/>
              <w:rPr>
                <w:caps/>
              </w:rPr>
            </w:pP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t>Мета посади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pPr>
              <w:jc w:val="both"/>
            </w:pPr>
            <w:r w:rsidRPr="00FC7C32">
              <w:t xml:space="preserve">Забезпечення належного функціонування та експлуатації апаратно-програмних засобів та програмно-технічних комплексів підрозділу. Організація розгортання та забезпечення функціонування системи перехоплення електронних комунікацій </w:t>
            </w:r>
            <w:r w:rsidRPr="00FC7C32">
              <w:rPr>
                <w:lang w:val="en-US"/>
              </w:rPr>
              <w:t>(</w:t>
            </w:r>
            <w:r w:rsidRPr="00FC7C32">
              <w:t xml:space="preserve">далі - СПЕК) та транспортної телекомунікаційної мережі (далі – ТТМ) Національного бюро. Отримання інформації та доказів стосовно кримінальних правопорушень, розслідування яких віднесено до компетенції детективів Національного бюро, шляхом оброблення інформації за результатами проведення оперативно-технічних заходів зі зняття інформації з електронних комунікаційних мереж із застосуванням апаратно-програмних засобів та комплексів систем перехоплення телекомунікацій. 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Зміст виконуваної за посадою роботи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1D143D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забезпечення впровадження, модернізації та експлуатації апаратно-програмних засобів та програмно-технічних комплексів підрозділу;</w:t>
            </w:r>
          </w:p>
          <w:p w:rsidR="001D143D" w:rsidRPr="00FC7C32" w:rsidRDefault="001D143D" w:rsidP="001D143D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організаційне забезпечення розгортання та функціонування СПЕК та ТТМ Національного бюро;</w:t>
            </w:r>
          </w:p>
          <w:p w:rsidR="001D143D" w:rsidRPr="00FC7C32" w:rsidRDefault="001D143D" w:rsidP="001D143D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адміністрування серверного обладнання та систем зберігання даних СПЕК;</w:t>
            </w:r>
          </w:p>
          <w:p w:rsidR="001D143D" w:rsidRPr="00FC7C32" w:rsidRDefault="001D143D" w:rsidP="001D143D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в межах компетенції обробка інформації при проведенні оперативно-технічних заходів зі зняття інформації з електронних комунікаційних мереж із застосуванням апаратно-програмних засобів та програмно-технічних комплексів;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lastRenderedPageBreak/>
              <w:t>впровадження програмних продуктів для забезпечення проведення заходів зі зняття інформації з електронних комунікаційних мереж;</w:t>
            </w:r>
          </w:p>
          <w:p w:rsidR="001D143D" w:rsidRPr="00FC7C32" w:rsidRDefault="001D143D" w:rsidP="001D143D">
            <w:pPr>
              <w:pStyle w:val="NoSpacing1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uk-UA" w:eastAsia="uk-UA"/>
              </w:rPr>
            </w:pPr>
            <w:r w:rsidRPr="00FC7C32">
              <w:rPr>
                <w:sz w:val="24"/>
                <w:szCs w:val="24"/>
                <w:lang w:val="uk-UA"/>
              </w:rPr>
              <w:t>в межах компетенції взаємодія з іншими підрозділами Національного бюро та виробниками апаратно-програмних засобів (програмно-технічних комплексів) при вирішенні службових завдань.</w:t>
            </w:r>
          </w:p>
        </w:tc>
      </w:tr>
      <w:tr w:rsidR="00FC7C32" w:rsidRPr="00FC7C32" w:rsidTr="003500D8">
        <w:trPr>
          <w:trHeight w:val="422"/>
        </w:trPr>
        <w:tc>
          <w:tcPr>
            <w:tcW w:w="816" w:type="dxa"/>
            <w:shd w:val="clear" w:color="auto" w:fill="auto"/>
            <w:vAlign w:val="center"/>
          </w:tcPr>
          <w:p w:rsidR="001D143D" w:rsidRPr="00FC7C32" w:rsidRDefault="001D143D" w:rsidP="00EF100F">
            <w:pPr>
              <w:jc w:val="center"/>
              <w:rPr>
                <w:b/>
              </w:rPr>
            </w:pPr>
            <w:r w:rsidRPr="00FC7C32">
              <w:rPr>
                <w:b/>
              </w:rPr>
              <w:lastRenderedPageBreak/>
              <w:t>ІІ</w:t>
            </w:r>
          </w:p>
        </w:tc>
        <w:tc>
          <w:tcPr>
            <w:tcW w:w="8813" w:type="dxa"/>
            <w:gridSpan w:val="2"/>
            <w:shd w:val="clear" w:color="auto" w:fill="auto"/>
            <w:vAlign w:val="center"/>
          </w:tcPr>
          <w:p w:rsidR="001D143D" w:rsidRPr="00FC7C32" w:rsidRDefault="001D143D" w:rsidP="00EF100F">
            <w:pPr>
              <w:jc w:val="center"/>
              <w:rPr>
                <w:b/>
              </w:rPr>
            </w:pPr>
            <w:r w:rsidRPr="00FC7C32">
              <w:rPr>
                <w:b/>
              </w:rPr>
              <w:t>КВАЛІФІКАЦІЙНІ ВИМОГИ</w:t>
            </w:r>
          </w:p>
        </w:tc>
      </w:tr>
      <w:tr w:rsidR="00FC7C32" w:rsidRPr="00FC7C32" w:rsidTr="00EF100F">
        <w:tc>
          <w:tcPr>
            <w:tcW w:w="9629" w:type="dxa"/>
            <w:gridSpan w:val="3"/>
            <w:shd w:val="clear" w:color="auto" w:fill="auto"/>
          </w:tcPr>
          <w:p w:rsidR="001D143D" w:rsidRPr="00FC7C32" w:rsidRDefault="001D143D" w:rsidP="00EF100F">
            <w:pPr>
              <w:numPr>
                <w:ilvl w:val="0"/>
                <w:numId w:val="2"/>
              </w:numPr>
              <w:jc w:val="center"/>
              <w:rPr>
                <w:i/>
              </w:rPr>
            </w:pPr>
            <w:r w:rsidRPr="00FC7C32">
              <w:rPr>
                <w:i/>
              </w:rPr>
              <w:t>Загальні вимоги</w:t>
            </w:r>
          </w:p>
        </w:tc>
      </w:tr>
      <w:tr w:rsidR="00FC7C32" w:rsidRPr="00FC7C32" w:rsidTr="00EF100F">
        <w:tc>
          <w:tcPr>
            <w:tcW w:w="816" w:type="dxa"/>
            <w:vMerge w:val="restart"/>
            <w:shd w:val="clear" w:color="auto" w:fill="auto"/>
          </w:tcPr>
          <w:p w:rsidR="001D143D" w:rsidRPr="00FC7C32" w:rsidRDefault="001D143D" w:rsidP="00EF100F">
            <w:r w:rsidRPr="00FC7C32">
              <w:t>1.1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Освіта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Вища.</w:t>
            </w:r>
          </w:p>
        </w:tc>
      </w:tr>
      <w:tr w:rsidR="00FC7C32" w:rsidRPr="00FC7C32" w:rsidTr="00EF100F">
        <w:tc>
          <w:tcPr>
            <w:tcW w:w="816" w:type="dxa"/>
            <w:vMerge/>
            <w:shd w:val="clear" w:color="auto" w:fill="auto"/>
          </w:tcPr>
          <w:p w:rsidR="001D143D" w:rsidRPr="00FC7C32" w:rsidRDefault="001D143D" w:rsidP="00EF100F"/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Ступінь вищої освіти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Магістр (спеціаліст) або бакалавр (з 2016 року).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1.2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t xml:space="preserve">Стаж роботи </w:t>
            </w:r>
            <w:r w:rsidRPr="00FC7C32">
              <w:rPr>
                <w:lang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Загальний стаж роботи (служби) не менше 3 років.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Del="00E7634A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1.3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Del="00E7634A" w:rsidRDefault="001D143D" w:rsidP="00EF100F">
            <w:r w:rsidRPr="00FC7C32">
              <w:t>Володіння державною мовою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r w:rsidRPr="00FC7C32">
              <w:t>Вільно.</w:t>
            </w:r>
          </w:p>
        </w:tc>
      </w:tr>
      <w:tr w:rsidR="00FC7C32" w:rsidRPr="00FC7C32" w:rsidTr="00EF100F">
        <w:trPr>
          <w:trHeight w:val="778"/>
        </w:trPr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1.4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Володіння іноземними мовами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157FE6">
            <w:r w:rsidRPr="00FC7C32">
              <w:t>Знання інозем</w:t>
            </w:r>
            <w:r w:rsidR="00157FE6">
              <w:t>ної мови є додатковою перевагою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1.5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C7C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r w:rsidRPr="00FC7C32">
              <w:t>Безстроково.</w:t>
            </w:r>
          </w:p>
        </w:tc>
      </w:tr>
      <w:tr w:rsidR="00FC7C32" w:rsidRPr="00FC7C32" w:rsidTr="00EF100F">
        <w:tc>
          <w:tcPr>
            <w:tcW w:w="9629" w:type="dxa"/>
            <w:gridSpan w:val="3"/>
            <w:shd w:val="clear" w:color="auto" w:fill="auto"/>
          </w:tcPr>
          <w:p w:rsidR="001D143D" w:rsidRPr="00FC7C32" w:rsidRDefault="001D143D" w:rsidP="00EF100F">
            <w:pPr>
              <w:jc w:val="center"/>
              <w:rPr>
                <w:i/>
              </w:rPr>
            </w:pPr>
            <w:r w:rsidRPr="00FC7C32">
              <w:rPr>
                <w:i/>
              </w:rPr>
              <w:t>2. Спеціальні вимоги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2.1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t>Галузь знань (найменування спеціальності)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BC6126">
            <w:pPr>
              <w:contextualSpacing/>
              <w:jc w:val="both"/>
              <w:rPr>
                <w:highlight w:val="yellow"/>
              </w:rPr>
            </w:pPr>
            <w:r w:rsidRPr="00FC7C32">
              <w:rPr>
                <w:shd w:val="clear" w:color="auto" w:fill="FFFFFF"/>
              </w:rPr>
              <w:t xml:space="preserve">Інформаційні технології; </w:t>
            </w:r>
            <w:r w:rsidR="00FC7C32">
              <w:rPr>
                <w:shd w:val="clear" w:color="auto" w:fill="FFFFFF"/>
              </w:rPr>
              <w:t>І</w:t>
            </w:r>
            <w:r w:rsidRPr="00FC7C32">
              <w:rPr>
                <w:shd w:val="clear" w:color="auto" w:fill="FFFFFF"/>
              </w:rPr>
              <w:t>нженерія, виробництво та будівництво (</w:t>
            </w:r>
            <w:r w:rsidR="00FC7C32">
              <w:rPr>
                <w:shd w:val="clear" w:color="auto" w:fill="FFFFFF"/>
              </w:rPr>
              <w:t>спеціальність: «Е</w:t>
            </w:r>
            <w:r w:rsidRPr="00FC7C32">
              <w:rPr>
                <w:shd w:val="clear" w:color="auto" w:fill="FFFFFF"/>
              </w:rPr>
              <w:t>лектроніка, електронні комунікації, приладобудування та радіотехніка</w:t>
            </w:r>
            <w:r w:rsidR="00FC7C32">
              <w:rPr>
                <w:shd w:val="clear" w:color="auto" w:fill="FFFFFF"/>
              </w:rPr>
              <w:t>»</w:t>
            </w:r>
            <w:r w:rsidRPr="00FC7C32">
              <w:rPr>
                <w:shd w:val="clear" w:color="auto" w:fill="FFFFFF"/>
              </w:rPr>
              <w:t xml:space="preserve">); </w:t>
            </w:r>
            <w:r w:rsidR="00FC7C32">
              <w:rPr>
                <w:shd w:val="clear" w:color="auto" w:fill="FFFFFF"/>
              </w:rPr>
              <w:t>Б</w:t>
            </w:r>
            <w:r w:rsidR="00A73ECA" w:rsidRPr="00FC7C32">
              <w:rPr>
                <w:shd w:val="clear" w:color="auto" w:fill="FFFFFF"/>
              </w:rPr>
              <w:t>ізнес, адміністрування т</w:t>
            </w:r>
            <w:r w:rsidR="00BC6126">
              <w:rPr>
                <w:shd w:val="clear" w:color="auto" w:fill="FFFFFF"/>
              </w:rPr>
              <w:t>а право (спеціальність: «Право»</w:t>
            </w:r>
            <w:r w:rsidR="00A73ECA" w:rsidRPr="00FC7C32">
              <w:rPr>
                <w:shd w:val="clear" w:color="auto" w:fill="FFFFFF"/>
              </w:rPr>
              <w:t xml:space="preserve">); </w:t>
            </w:r>
            <w:r w:rsidR="00BC6126">
              <w:rPr>
                <w:shd w:val="clear" w:color="auto" w:fill="FFFFFF"/>
              </w:rPr>
              <w:t>Б</w:t>
            </w:r>
            <w:r w:rsidR="00A73ECA" w:rsidRPr="00FC7C32">
              <w:rPr>
                <w:shd w:val="clear" w:color="auto" w:fill="FFFFFF"/>
              </w:rPr>
              <w:t>езпека та оборона.</w:t>
            </w:r>
            <w:r w:rsidRPr="00FC7C32">
              <w:rPr>
                <w:shd w:val="clear" w:color="auto" w:fill="FFFFFF"/>
              </w:rPr>
              <w:t xml:space="preserve"> 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2.2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t>Спеціальний досвід роботи (тривалість, сфера чи напрям роботи)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r w:rsidRPr="00FC7C32">
              <w:t>Досвід роботи за фахом не менше двох років.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2.3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Знання законодавства відповідно до посадових обов’язків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1D143D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1D143D" w:rsidRPr="00FC7C32" w:rsidRDefault="001D143D" w:rsidP="001D143D"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C7C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1D143D" w:rsidRPr="00FC7C32" w:rsidRDefault="001D143D" w:rsidP="001D143D"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C7C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1D143D" w:rsidRPr="00FC7C32" w:rsidRDefault="001D143D" w:rsidP="001D143D"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C7C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1D143D" w:rsidRPr="00FC7C32" w:rsidRDefault="001D143D" w:rsidP="001D143D"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C7C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</w:t>
            </w:r>
            <w:r w:rsidRPr="00FC7C32">
              <w:rPr>
                <w:rFonts w:ascii="Times New Roman" w:hAnsi="Times New Roman"/>
                <w:sz w:val="24"/>
                <w:szCs w:val="24"/>
              </w:rPr>
              <w:t>Про державну таємницю</w:t>
            </w:r>
            <w:r w:rsidRPr="00FC7C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»;</w:t>
            </w:r>
          </w:p>
          <w:p w:rsidR="001D143D" w:rsidRPr="00FC7C32" w:rsidRDefault="001D143D" w:rsidP="001D143D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Закон України «Про електронні комунікації»;</w:t>
            </w:r>
          </w:p>
          <w:p w:rsidR="001D143D" w:rsidRPr="00FC7C32" w:rsidRDefault="001D143D" w:rsidP="001D143D"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C7C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«Про захист інформації в інформаційно-телекомунікаційних системах»;</w:t>
            </w:r>
          </w:p>
          <w:p w:rsidR="001D143D" w:rsidRPr="00FC7C32" w:rsidRDefault="001D143D" w:rsidP="001D143D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1D143D" w:rsidRPr="00FC7C32" w:rsidRDefault="001D143D" w:rsidP="001D143D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1D143D" w:rsidRPr="00FC7C32" w:rsidRDefault="001D143D" w:rsidP="001D143D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ПКМУ від 29.07.1991 №114 "Положення про проходження служби рядовим і начальницьким складом органів внутрішніх справ України";</w:t>
            </w:r>
          </w:p>
          <w:p w:rsidR="001D143D" w:rsidRPr="00FC7C32" w:rsidRDefault="001D143D" w:rsidP="001D143D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Дисциплінарний статут органів внутрішніх справ України;</w:t>
            </w:r>
          </w:p>
          <w:p w:rsidR="001D143D" w:rsidRPr="00FC7C32" w:rsidRDefault="001D143D" w:rsidP="001D143D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>Закон України «Про пенсійне забезпечення осіб, звільнених з військової служби, та деяких інших осіб».</w:t>
            </w:r>
          </w:p>
        </w:tc>
      </w:tr>
      <w:tr w:rsidR="00FC7C32" w:rsidRPr="00FC7C32" w:rsidTr="00EF100F">
        <w:trPr>
          <w:trHeight w:val="546"/>
        </w:trPr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lastRenderedPageBreak/>
              <w:t>2.4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Професійні знання (</w:t>
            </w:r>
            <w:r w:rsidRPr="00FC7C32">
              <w:rPr>
                <w:lang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1D143D">
            <w:pPr>
              <w:numPr>
                <w:ilvl w:val="0"/>
                <w:numId w:val="3"/>
              </w:numPr>
            </w:pPr>
            <w:r w:rsidRPr="00FC7C32">
              <w:t>знання у сфері зв’язку та  телекомунікацій;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</w:pPr>
            <w:r w:rsidRPr="00FC7C32">
              <w:t>знання технологій побудови мобільних систем зв’язку;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</w:pPr>
            <w:r w:rsidRPr="00FC7C32">
              <w:t>знання принципів побудови та експлуатації сучасних інформаційно-телекомунікаційних систем;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</w:pPr>
            <w:r w:rsidRPr="00FC7C32">
              <w:rPr>
                <w:rFonts w:eastAsia="Calibri"/>
              </w:rPr>
              <w:t>знання методології опису інформаційних процесів та потоків</w:t>
            </w:r>
            <w:r w:rsidRPr="00FC7C32">
              <w:t xml:space="preserve">; 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</w:pPr>
            <w:r w:rsidRPr="00FC7C32">
              <w:rPr>
                <w:rFonts w:eastAsia="Calibri"/>
              </w:rPr>
              <w:t>знання мов програмування (є перевагою)</w:t>
            </w:r>
            <w:r w:rsidRPr="00FC7C32">
              <w:t>.</w:t>
            </w:r>
          </w:p>
        </w:tc>
      </w:tr>
      <w:tr w:rsidR="00FC7C32" w:rsidRPr="00FC7C32" w:rsidTr="00EF100F">
        <w:trPr>
          <w:trHeight w:val="976"/>
        </w:trPr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2.5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Лідерство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1D143D">
            <w:pPr>
              <w:pStyle w:val="1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 xml:space="preserve">креативність та </w:t>
            </w:r>
            <w:r w:rsidRPr="00FC7C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ініціативність;</w:t>
            </w:r>
          </w:p>
          <w:p w:rsidR="001D143D" w:rsidRPr="00FC7C32" w:rsidRDefault="001D143D" w:rsidP="001D143D">
            <w:pPr>
              <w:pStyle w:val="1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C7C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вміння обґрунтовувати власну позицію;</w:t>
            </w:r>
          </w:p>
          <w:p w:rsidR="001D143D" w:rsidRPr="00FC7C32" w:rsidRDefault="001D143D" w:rsidP="001D143D">
            <w:pPr>
              <w:pStyle w:val="1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C7C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вміння брати не себе відповідальність.</w:t>
            </w:r>
          </w:p>
        </w:tc>
      </w:tr>
      <w:tr w:rsidR="00FC7C32" w:rsidRPr="00FC7C32" w:rsidTr="00EF100F">
        <w:trPr>
          <w:trHeight w:val="983"/>
        </w:trPr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2.6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Прийняття ефективних рішень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1D143D"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C7C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1D143D" w:rsidRPr="00FC7C32" w:rsidRDefault="001D143D" w:rsidP="001D143D"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C7C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здатність аналізувати багаторівневу інформацію;</w:t>
            </w:r>
          </w:p>
          <w:p w:rsidR="001D143D" w:rsidRPr="00FC7C32" w:rsidRDefault="001D143D" w:rsidP="001D143D">
            <w:pPr>
              <w:pStyle w:val="1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C7C3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організація на результат; 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rPr>
                <w:rFonts w:eastAsia="Calibri"/>
              </w:rPr>
              <w:t>системне мислення</w:t>
            </w:r>
            <w:r w:rsidRPr="00FC7C32">
              <w:t>.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2.7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Комунікації та взаємодія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1D143D">
            <w:pPr>
              <w:numPr>
                <w:ilvl w:val="0"/>
                <w:numId w:val="3"/>
              </w:numPr>
            </w:pPr>
            <w:r w:rsidRPr="00FC7C32">
              <w:t>комунікабельність;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</w:pPr>
            <w:r w:rsidRPr="00FC7C32">
              <w:t>уміння ефективної координації з іншими групами виконавців;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t xml:space="preserve">уміння надавати зворотній зв’язок. 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2.8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pPr>
              <w:spacing w:before="100" w:beforeAutospacing="1" w:after="100" w:afterAutospacing="1"/>
              <w:rPr>
                <w:lang w:eastAsia="uk-UA"/>
              </w:rPr>
            </w:pPr>
            <w:r w:rsidRPr="00FC7C32">
              <w:rPr>
                <w:lang w:eastAsia="uk-UA"/>
              </w:rPr>
              <w:t>Якісне виконання поставлених завдань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bookmarkStart w:id="1" w:name="n98"/>
            <w:bookmarkEnd w:id="1"/>
            <w:r w:rsidRPr="00FC7C32">
              <w:t>вміння розподіляти завдання серед виконавців;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t>систематизація інформації та аналітичне мислення;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t>орієнтація на результат та цілеспрямованість;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t>добре розвинена пам'ять;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t>стійкість до стресу;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</w:pPr>
            <w:r w:rsidRPr="00FC7C32">
              <w:t>сміливість, чесність та відповідальність за доручену справу.</w:t>
            </w:r>
          </w:p>
        </w:tc>
      </w:tr>
      <w:tr w:rsidR="00FC7C32" w:rsidRPr="00FC7C32" w:rsidTr="00EF100F">
        <w:trPr>
          <w:trHeight w:val="796"/>
        </w:trPr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2.9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pPr>
              <w:spacing w:before="100" w:beforeAutospacing="1" w:after="100" w:afterAutospacing="1"/>
              <w:rPr>
                <w:lang w:eastAsia="uk-UA"/>
              </w:rPr>
            </w:pPr>
            <w:r w:rsidRPr="00FC7C32">
              <w:rPr>
                <w:lang w:eastAsia="uk-UA"/>
              </w:rPr>
              <w:t>Командна робота та взаємодія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bookmarkStart w:id="2" w:name="n101"/>
            <w:bookmarkStart w:id="3" w:name="n102"/>
            <w:bookmarkEnd w:id="2"/>
            <w:bookmarkEnd w:id="3"/>
            <w:r w:rsidRPr="00FC7C32">
              <w:t>уміння працювати в команді;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t>неупередженість та об’єктивність;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t>уміння надавати зворотний зв'язок;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t>підвищення теоретичних та практичних навичок членів групи.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2.10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pPr>
              <w:spacing w:before="100" w:beforeAutospacing="1" w:after="100" w:afterAutospacing="1"/>
              <w:rPr>
                <w:lang w:eastAsia="uk-UA"/>
              </w:rPr>
            </w:pPr>
            <w:r w:rsidRPr="00FC7C32">
              <w:rPr>
                <w:lang w:eastAsia="uk-UA"/>
              </w:rPr>
              <w:t>Сприйняття змін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bookmarkStart w:id="4" w:name="n105"/>
            <w:bookmarkEnd w:id="4"/>
            <w:r w:rsidRPr="00FC7C32"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t>виконання плану змін та покращень.</w:t>
            </w:r>
          </w:p>
        </w:tc>
      </w:tr>
      <w:tr w:rsidR="00FC7C32" w:rsidRPr="00FC7C32" w:rsidTr="00EF100F">
        <w:tc>
          <w:tcPr>
            <w:tcW w:w="816" w:type="dxa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2.11</w:t>
            </w:r>
          </w:p>
        </w:tc>
        <w:tc>
          <w:tcPr>
            <w:tcW w:w="3109" w:type="dxa"/>
          </w:tcPr>
          <w:p w:rsidR="001D143D" w:rsidRPr="00FC7C32" w:rsidRDefault="001D143D" w:rsidP="00EF100F">
            <w:r w:rsidRPr="00FC7C32">
              <w:rPr>
                <w:lang w:eastAsia="uk-UA"/>
              </w:rPr>
              <w:t xml:space="preserve">Технічні вміння </w:t>
            </w:r>
          </w:p>
        </w:tc>
        <w:tc>
          <w:tcPr>
            <w:tcW w:w="5704" w:type="dxa"/>
          </w:tcPr>
          <w:p w:rsidR="001D143D" w:rsidRPr="00FC7C32" w:rsidRDefault="001D143D" w:rsidP="001D143D">
            <w:pPr>
              <w:pStyle w:val="a4"/>
              <w:numPr>
                <w:ilvl w:val="0"/>
                <w:numId w:val="3"/>
              </w:numPr>
            </w:pPr>
            <w:r w:rsidRPr="00FC7C32">
              <w:rPr>
                <w:rFonts w:eastAsia="Calibri"/>
              </w:rPr>
              <w:t>досвід розгортання, налаштування, тестування та експлуатації сучасних інформаційно-телекомунікаційних систем</w:t>
            </w:r>
            <w:r w:rsidRPr="00FC7C32">
              <w:t>;</w:t>
            </w:r>
          </w:p>
          <w:p w:rsidR="001D143D" w:rsidRPr="00FC7C32" w:rsidRDefault="001D143D" w:rsidP="001D143D">
            <w:pPr>
              <w:pStyle w:val="a4"/>
              <w:numPr>
                <w:ilvl w:val="0"/>
                <w:numId w:val="3"/>
              </w:numPr>
            </w:pPr>
            <w:r w:rsidRPr="00FC7C32">
              <w:t>вміння автоматизувати обробку потоків даних в різних операційних системах;</w:t>
            </w:r>
          </w:p>
          <w:p w:rsidR="001D143D" w:rsidRPr="00FC7C32" w:rsidRDefault="001D143D" w:rsidP="001D143D">
            <w:pPr>
              <w:pStyle w:val="a4"/>
              <w:numPr>
                <w:ilvl w:val="0"/>
                <w:numId w:val="3"/>
              </w:numPr>
            </w:pPr>
            <w:r w:rsidRPr="00FC7C32">
              <w:t>вміння аналізувати великі структуровані масиви даних;</w:t>
            </w:r>
          </w:p>
          <w:p w:rsidR="001D143D" w:rsidRPr="00FC7C32" w:rsidRDefault="001D143D" w:rsidP="001D143D">
            <w:pPr>
              <w:pStyle w:val="20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32">
              <w:rPr>
                <w:rFonts w:ascii="Times New Roman" w:hAnsi="Times New Roman"/>
                <w:sz w:val="24"/>
                <w:szCs w:val="24"/>
              </w:rPr>
              <w:t xml:space="preserve">вміння проводити діагностику, пошук та усунення </w:t>
            </w:r>
            <w:proofErr w:type="spellStart"/>
            <w:r w:rsidRPr="00FC7C32">
              <w:rPr>
                <w:rFonts w:ascii="Times New Roman" w:hAnsi="Times New Roman"/>
                <w:sz w:val="24"/>
                <w:szCs w:val="24"/>
              </w:rPr>
              <w:t>несправностей</w:t>
            </w:r>
            <w:proofErr w:type="spellEnd"/>
            <w:r w:rsidRPr="00FC7C3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143D" w:rsidRPr="00FC7C32" w:rsidRDefault="001D143D" w:rsidP="001D143D">
            <w:pPr>
              <w:pStyle w:val="a4"/>
              <w:numPr>
                <w:ilvl w:val="0"/>
                <w:numId w:val="3"/>
              </w:numPr>
            </w:pPr>
            <w:r w:rsidRPr="00FC7C32">
              <w:t xml:space="preserve">англійська мова: розуміння технічної документації (бажано). 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1D143D" w:rsidP="00EF100F">
            <w:pPr>
              <w:rPr>
                <w:caps/>
              </w:rPr>
            </w:pPr>
            <w:r w:rsidRPr="00FC7C32">
              <w:rPr>
                <w:caps/>
              </w:rPr>
              <w:t>2.12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Del="00E7634A" w:rsidRDefault="001D143D" w:rsidP="00EF100F">
            <w:r w:rsidRPr="00FC7C32">
              <w:t>Особистісні компетенції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bookmarkStart w:id="5" w:name="n110"/>
            <w:bookmarkEnd w:id="5"/>
            <w:r w:rsidRPr="00FC7C32">
              <w:t>відповідальність;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t>системність і самостійність в роботі;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proofErr w:type="spellStart"/>
            <w:r w:rsidRPr="00FC7C32">
              <w:t>самоорганізованість</w:t>
            </w:r>
            <w:proofErr w:type="spellEnd"/>
            <w:r w:rsidRPr="00FC7C32">
              <w:t>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lastRenderedPageBreak/>
              <w:t>висока працездатність;</w:t>
            </w:r>
          </w:p>
          <w:p w:rsidR="001D143D" w:rsidRPr="00FC7C32" w:rsidRDefault="001D143D" w:rsidP="001D143D">
            <w:pPr>
              <w:numPr>
                <w:ilvl w:val="0"/>
                <w:numId w:val="4"/>
              </w:numPr>
              <w:jc w:val="both"/>
            </w:pPr>
            <w:r w:rsidRPr="00FC7C32">
              <w:t>непричетність до корупційних скандалів;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r w:rsidRPr="00FC7C32">
              <w:t>позитивна репутація: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bookmarkStart w:id="6" w:name="n111"/>
            <w:bookmarkEnd w:id="6"/>
            <w:r w:rsidRPr="00FC7C32">
              <w:t>уважність до деталей;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bookmarkStart w:id="7" w:name="n112"/>
            <w:bookmarkEnd w:id="7"/>
            <w:r w:rsidRPr="00FC7C32">
              <w:t>наполегливість;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bookmarkStart w:id="8" w:name="n113"/>
            <w:bookmarkEnd w:id="8"/>
            <w:r w:rsidRPr="00FC7C32">
              <w:t>креативність та ініціативність;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  <w:jc w:val="both"/>
            </w:pPr>
            <w:bookmarkStart w:id="9" w:name="n114"/>
            <w:bookmarkEnd w:id="9"/>
            <w:r w:rsidRPr="00FC7C32">
              <w:t>орієнтація на саморозвиток;</w:t>
            </w:r>
          </w:p>
          <w:p w:rsidR="001D143D" w:rsidRPr="00FC7C32" w:rsidRDefault="001D143D" w:rsidP="001D143D">
            <w:pPr>
              <w:numPr>
                <w:ilvl w:val="0"/>
                <w:numId w:val="3"/>
              </w:numPr>
            </w:pPr>
            <w:bookmarkStart w:id="10" w:name="n115"/>
            <w:bookmarkStart w:id="11" w:name="n116"/>
            <w:bookmarkEnd w:id="10"/>
            <w:bookmarkEnd w:id="11"/>
            <w:r w:rsidRPr="00FC7C32">
              <w:t>вміння працювати в стресових ситуаціях.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  <w:vAlign w:val="center"/>
          </w:tcPr>
          <w:p w:rsidR="001D143D" w:rsidRPr="00FC7C32" w:rsidRDefault="001D143D" w:rsidP="00EF100F">
            <w:pPr>
              <w:jc w:val="center"/>
              <w:rPr>
                <w:caps/>
              </w:rPr>
            </w:pPr>
            <w:r w:rsidRPr="00FC7C32">
              <w:rPr>
                <w:b/>
              </w:rPr>
              <w:lastRenderedPageBreak/>
              <w:t>ІІІ</w:t>
            </w:r>
          </w:p>
        </w:tc>
        <w:tc>
          <w:tcPr>
            <w:tcW w:w="8813" w:type="dxa"/>
            <w:gridSpan w:val="2"/>
            <w:shd w:val="clear" w:color="auto" w:fill="auto"/>
            <w:vAlign w:val="center"/>
          </w:tcPr>
          <w:p w:rsidR="001D143D" w:rsidRPr="00FC7C32" w:rsidRDefault="001D143D" w:rsidP="00EF100F">
            <w:pPr>
              <w:jc w:val="center"/>
              <w:rPr>
                <w:b/>
              </w:rPr>
            </w:pPr>
            <w:r w:rsidRPr="00FC7C32">
              <w:rPr>
                <w:b/>
              </w:rPr>
              <w:t>ІНШІ ВІДОМОСТІ</w:t>
            </w:r>
          </w:p>
        </w:tc>
      </w:tr>
      <w:tr w:rsidR="00FC7C32" w:rsidRPr="00FC7C32" w:rsidTr="00EF100F">
        <w:trPr>
          <w:trHeight w:val="847"/>
        </w:trPr>
        <w:tc>
          <w:tcPr>
            <w:tcW w:w="816" w:type="dxa"/>
            <w:shd w:val="clear" w:color="auto" w:fill="auto"/>
          </w:tcPr>
          <w:p w:rsidR="001D143D" w:rsidRPr="00FC7C32" w:rsidRDefault="003500D8" w:rsidP="00EF100F">
            <w:pPr>
              <w:jc w:val="center"/>
              <w:rPr>
                <w:caps/>
              </w:rPr>
            </w:pPr>
            <w:r>
              <w:rPr>
                <w:caps/>
              </w:rPr>
              <w:t>3.</w:t>
            </w:r>
            <w:r w:rsidR="001D143D" w:rsidRPr="00FC7C32">
              <w:rPr>
                <w:caps/>
              </w:rPr>
              <w:t>1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Кваліфікаційний іспит (тестування)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pPr>
              <w:jc w:val="both"/>
              <w:rPr>
                <w:b/>
              </w:rPr>
            </w:pPr>
            <w:r w:rsidRPr="00FC7C32">
              <w:t xml:space="preserve">Тестування на знання законодавства 1-го рівня </w:t>
            </w:r>
            <w:r w:rsidRPr="00E87C5D">
              <w:rPr>
                <w:color w:val="0070C0"/>
              </w:rPr>
              <w:t>(</w:t>
            </w:r>
            <w:hyperlink r:id="rId5" w:history="1">
              <w:r w:rsidRPr="00E87C5D">
                <w:rPr>
                  <w:rStyle w:val="a5"/>
                  <w:color w:val="0070C0"/>
                </w:rPr>
                <w:t>https://nabu.gov.ua/robota-v-nabu/pravila-priiomu/perelik-pytan-do-kvalifikaciynogo-ispytu/</w:t>
              </w:r>
            </w:hyperlink>
            <w:r w:rsidRPr="00FC7C32">
              <w:t xml:space="preserve"> )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3500D8" w:rsidP="00EF100F">
            <w:pPr>
              <w:jc w:val="center"/>
              <w:rPr>
                <w:caps/>
              </w:rPr>
            </w:pPr>
            <w:r>
              <w:rPr>
                <w:caps/>
              </w:rPr>
              <w:t>3.</w:t>
            </w:r>
            <w:r w:rsidR="001D143D" w:rsidRPr="00FC7C32">
              <w:rPr>
                <w:caps/>
              </w:rPr>
              <w:t>2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Перелік документів:</w:t>
            </w:r>
          </w:p>
          <w:p w:rsidR="001D143D" w:rsidRPr="00FC7C32" w:rsidRDefault="001D143D" w:rsidP="00EF100F"/>
        </w:tc>
        <w:tc>
          <w:tcPr>
            <w:tcW w:w="5704" w:type="dxa"/>
            <w:shd w:val="clear" w:color="auto" w:fill="FFFFFF" w:themeFill="background1"/>
          </w:tcPr>
          <w:p w:rsidR="001D143D" w:rsidRPr="00FC7C32" w:rsidRDefault="001D143D" w:rsidP="00EF100F">
            <w:pPr>
              <w:jc w:val="both"/>
            </w:pPr>
            <w:r w:rsidRPr="00FC7C32">
              <w:t xml:space="preserve">      Документи для участі у конкурсі надсилаються на офіційну адресу Національного бюро </w:t>
            </w:r>
            <w:r w:rsidRPr="00FC7C32">
              <w:rPr>
                <w:b/>
              </w:rPr>
              <w:t>у паперовому вигляді</w:t>
            </w:r>
            <w:r w:rsidRPr="00FC7C32">
              <w:t>:</w:t>
            </w:r>
          </w:p>
          <w:p w:rsidR="001D143D" w:rsidRPr="00FC7C32" w:rsidRDefault="001D143D" w:rsidP="00EF100F">
            <w:pPr>
              <w:jc w:val="both"/>
            </w:pPr>
            <w:r w:rsidRPr="00FC7C32">
              <w:t>     1) заяву про участь у конкурсі встановленого зразка (додаток 3) із обов’язковим зазначенням назви посади;</w:t>
            </w:r>
          </w:p>
          <w:p w:rsidR="001D143D" w:rsidRPr="00FC7C32" w:rsidRDefault="001D143D" w:rsidP="00EF100F">
            <w:pPr>
              <w:jc w:val="both"/>
            </w:pPr>
            <w:r w:rsidRPr="00FC7C32">
              <w:t>     2) анкета кандидата на посаду до Національного бюро із заповненням всіх визначених у додатку полів анкети (додаток 4);</w:t>
            </w:r>
          </w:p>
          <w:p w:rsidR="001D143D" w:rsidRPr="00FC7C32" w:rsidRDefault="001D143D" w:rsidP="00EF100F">
            <w:pPr>
              <w:jc w:val="both"/>
            </w:pPr>
            <w:r w:rsidRPr="00FC7C32">
              <w:t>    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1D143D" w:rsidRPr="00FC7C32" w:rsidRDefault="001D143D" w:rsidP="00EF100F">
            <w:pPr>
              <w:jc w:val="both"/>
            </w:pPr>
            <w:r w:rsidRPr="00FC7C32">
              <w:t xml:space="preserve">     4) роздрукована та заповнена декларація особи, уповноваженої на виконання функцій держави або місцевого самоврядування, за минулий рік (згідно Закону України «Про запобігання корупції»), як кандидата на посаду у паперовому вигляді (додаток 5)</w:t>
            </w:r>
          </w:p>
          <w:p w:rsidR="001D143D" w:rsidRPr="00FC7C32" w:rsidRDefault="001D143D" w:rsidP="00EF100F">
            <w:pPr>
              <w:jc w:val="both"/>
            </w:pPr>
            <w:r w:rsidRPr="00FC7C32">
              <w:t>     5)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:rsidR="001D143D" w:rsidRPr="00FC7C32" w:rsidRDefault="001D143D" w:rsidP="00EF100F">
            <w:pPr>
              <w:jc w:val="both"/>
            </w:pPr>
          </w:p>
          <w:p w:rsidR="001D143D" w:rsidRPr="00FC7C32" w:rsidRDefault="001D143D" w:rsidP="00EF100F">
            <w:pPr>
              <w:jc w:val="both"/>
              <w:rPr>
                <w:b/>
              </w:rPr>
            </w:pPr>
            <w:r w:rsidRPr="00FC7C32">
              <w:t>     </w:t>
            </w:r>
            <w:r w:rsidRPr="00FC7C32">
              <w:rPr>
                <w:b/>
              </w:rPr>
              <w:t xml:space="preserve">Працівники Національного бюро, </w:t>
            </w:r>
            <w:r w:rsidRPr="00FC7C32">
              <w:t xml:space="preserve">які бажають взяти участь у конкурсі, </w:t>
            </w:r>
            <w:r w:rsidRPr="00FC7C32">
              <w:rPr>
                <w:b/>
              </w:rPr>
              <w:t>подають у паперовому вигляді:</w:t>
            </w:r>
          </w:p>
          <w:p w:rsidR="001D143D" w:rsidRPr="00FC7C32" w:rsidRDefault="001D143D" w:rsidP="001D143D">
            <w:pPr>
              <w:numPr>
                <w:ilvl w:val="0"/>
                <w:numId w:val="5"/>
              </w:numPr>
              <w:ind w:left="5" w:firstLine="284"/>
              <w:jc w:val="both"/>
            </w:pPr>
            <w:r w:rsidRPr="00FC7C32">
              <w:t>письмову заяву про участь у конкурсі встановленого зразка (додаток 3) із обов’язковим зазначенням назви посади та коду посади;</w:t>
            </w:r>
          </w:p>
          <w:p w:rsidR="001D143D" w:rsidRPr="00FC7C32" w:rsidRDefault="001D143D" w:rsidP="001D143D">
            <w:pPr>
              <w:numPr>
                <w:ilvl w:val="0"/>
                <w:numId w:val="5"/>
              </w:numPr>
              <w:ind w:left="5" w:firstLine="284"/>
              <w:jc w:val="both"/>
            </w:pPr>
            <w:r w:rsidRPr="00FC7C32"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1D143D" w:rsidRPr="00FC7C32" w:rsidRDefault="001D143D" w:rsidP="00EF100F">
            <w:pPr>
              <w:jc w:val="both"/>
            </w:pPr>
            <w:r w:rsidRPr="00FC7C32">
              <w:t xml:space="preserve">     Кандидати можуть подавати додаткову інформацію стосовно своєї освіти, досвіду роботи, професійного рівня і репутації (характеристики, </w:t>
            </w:r>
            <w:r w:rsidRPr="00FC7C32">
              <w:lastRenderedPageBreak/>
              <w:t>рекомендації, наукові публікації тощо), мотиваційний лист.</w:t>
            </w:r>
          </w:p>
          <w:p w:rsidR="001D143D" w:rsidRPr="00FC7C32" w:rsidRDefault="001D143D" w:rsidP="00EF100F">
            <w:pPr>
              <w:jc w:val="both"/>
            </w:pPr>
          </w:p>
          <w:p w:rsidR="001D143D" w:rsidRPr="00FC7C32" w:rsidRDefault="001D143D" w:rsidP="00EF100F">
            <w:pPr>
              <w:jc w:val="both"/>
            </w:pPr>
            <w:r w:rsidRPr="00FC7C32">
              <w:t xml:space="preserve">      Зразки заяв розміщені на офіційному </w:t>
            </w:r>
            <w:proofErr w:type="spellStart"/>
            <w:r w:rsidRPr="00FC7C32">
              <w:t>вебсайті</w:t>
            </w:r>
            <w:proofErr w:type="spellEnd"/>
            <w:r w:rsidRPr="00FC7C32">
              <w:t xml:space="preserve"> Національного бюро  </w:t>
            </w:r>
            <w:hyperlink r:id="rId6" w:history="1">
              <w:r w:rsidRPr="00E87C5D">
                <w:rPr>
                  <w:rStyle w:val="a5"/>
                  <w:color w:val="0070C0"/>
                </w:rPr>
                <w:t>https://nabu.gov.ua/robota-v-nabu/pravila-priiomu/poryadok-provedennya-vidkrytogo-konkursu/</w:t>
              </w:r>
            </w:hyperlink>
            <w:r w:rsidRPr="00E87C5D">
              <w:rPr>
                <w:color w:val="0070C0"/>
              </w:rPr>
              <w:t xml:space="preserve">   </w:t>
            </w:r>
            <w:r w:rsidRPr="00FC7C32">
              <w:t>(Порядок проведення відкритого конкурсу, розділ ІІІ).</w:t>
            </w:r>
          </w:p>
          <w:p w:rsidR="001D143D" w:rsidRPr="00FC7C32" w:rsidRDefault="001D143D" w:rsidP="00EF100F">
            <w:pPr>
              <w:jc w:val="both"/>
            </w:pPr>
            <w:r w:rsidRPr="00FC7C32">
              <w:t xml:space="preserve">      </w:t>
            </w:r>
          </w:p>
          <w:p w:rsidR="00157FE6" w:rsidRPr="00D524EB" w:rsidRDefault="00157FE6" w:rsidP="00157FE6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>
              <w:rPr>
                <w:rFonts w:eastAsia="Segoe UI"/>
              </w:rPr>
              <w:t xml:space="preserve">     </w:t>
            </w:r>
            <w:r w:rsidRPr="008E04DC">
              <w:rPr>
                <w:rFonts w:eastAsia="Segoe UI"/>
              </w:rPr>
              <w:t>До участі у конкурсі на зайняття посад осіб начальницького складу Національного бюро, згідно з пунктом 1 розділу IV</w:t>
            </w:r>
            <w:r w:rsidRPr="00D524EB">
              <w:rPr>
                <w:rFonts w:eastAsia="Segoe UI"/>
              </w:rPr>
              <w:t xml:space="preserve"> Порядку проведення відкритого конкурсу, не допускаються особи:</w:t>
            </w:r>
          </w:p>
          <w:p w:rsidR="00157FE6" w:rsidRPr="0037023E" w:rsidRDefault="00157FE6" w:rsidP="00157FE6">
            <w:pPr>
              <w:widowControl w:val="0"/>
              <w:autoSpaceDE w:val="0"/>
              <w:autoSpaceDN w:val="0"/>
              <w:ind w:firstLine="316"/>
              <w:jc w:val="both"/>
              <w:rPr>
                <w:rFonts w:eastAsia="Segoe UI"/>
              </w:rPr>
            </w:pPr>
            <w:r w:rsidRPr="0037023E">
              <w:rPr>
                <w:rFonts w:eastAsia="Segoe UI"/>
              </w:rPr>
              <w:t>1)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тощо);</w:t>
            </w:r>
          </w:p>
          <w:p w:rsidR="001D143D" w:rsidRPr="00FC7C32" w:rsidRDefault="00157FE6" w:rsidP="00157FE6">
            <w:pPr>
              <w:jc w:val="both"/>
            </w:pPr>
            <w:r>
              <w:rPr>
                <w:rFonts w:eastAsia="Segoe UI"/>
              </w:rPr>
              <w:t xml:space="preserve">       </w:t>
            </w:r>
            <w:r w:rsidRPr="0037023E">
              <w:rPr>
                <w:rFonts w:eastAsia="Segoe UI"/>
              </w:rPr>
              <w:t>2) які не вказали у заяві код посади, якщо про це зазначено у відповідному Профілі посади.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3500D8" w:rsidP="00EF100F">
            <w:pPr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3.</w:t>
            </w:r>
            <w:r w:rsidR="001D143D" w:rsidRPr="00FC7C32">
              <w:rPr>
                <w:caps/>
              </w:rPr>
              <w:t>3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Термін подання документів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D143D" w:rsidRPr="00FC7C32" w:rsidRDefault="001D143D" w:rsidP="00EF100F">
            <w:pPr>
              <w:jc w:val="both"/>
            </w:pPr>
            <w:r w:rsidRPr="00FC7C32">
              <w:rPr>
                <w:kern w:val="36"/>
              </w:rPr>
              <w:t>Протягом 20 календарних днів з дня оприлюднення повідомлення про проведення конкурсу.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3500D8" w:rsidP="00EF100F">
            <w:pPr>
              <w:jc w:val="center"/>
              <w:rPr>
                <w:caps/>
              </w:rPr>
            </w:pPr>
            <w:r>
              <w:rPr>
                <w:caps/>
              </w:rPr>
              <w:t>3.</w:t>
            </w:r>
            <w:r w:rsidR="001D143D" w:rsidRPr="00FC7C32">
              <w:rPr>
                <w:caps/>
              </w:rPr>
              <w:t>4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Поштова адреса, за якою приймаються (на яку надсилаються) документи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smartTag w:uri="urn:schemas-microsoft-com:office:smarttags" w:element="metricconverter">
              <w:smartTagPr>
                <w:attr w:name="ProductID" w:val="03035, м"/>
              </w:smartTagPr>
              <w:r w:rsidRPr="00FC7C32">
                <w:t>03035, м</w:t>
              </w:r>
            </w:smartTag>
            <w:r w:rsidRPr="00FC7C32">
              <w:t>. Київ, вул. Дениса Монастирського, 3</w:t>
            </w:r>
          </w:p>
          <w:p w:rsidR="001D143D" w:rsidRPr="00FC7C32" w:rsidRDefault="001D143D" w:rsidP="00E87C5D">
            <w:r w:rsidRPr="00FC7C32">
              <w:t>або через спеціальну</w:t>
            </w:r>
            <w:r w:rsidR="00E87C5D">
              <w:t xml:space="preserve"> </w:t>
            </w:r>
            <w:r w:rsidRPr="00FC7C32">
              <w:t>поштову скриньку Національного бюро.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3500D8" w:rsidP="00EF100F">
            <w:pPr>
              <w:jc w:val="center"/>
              <w:rPr>
                <w:caps/>
              </w:rPr>
            </w:pPr>
            <w:r>
              <w:rPr>
                <w:caps/>
              </w:rPr>
              <w:t>3.</w:t>
            </w:r>
            <w:r w:rsidR="001D143D" w:rsidRPr="00FC7C32">
              <w:rPr>
                <w:caps/>
              </w:rPr>
              <w:t>5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Контактні дані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pPr>
              <w:jc w:val="both"/>
              <w:rPr>
                <w:bCs/>
              </w:rPr>
            </w:pPr>
            <w:r w:rsidRPr="00FC7C32">
              <w:rPr>
                <w:bCs/>
              </w:rPr>
              <w:t>E-</w:t>
            </w:r>
            <w:proofErr w:type="spellStart"/>
            <w:r w:rsidRPr="00FC7C32">
              <w:rPr>
                <w:bCs/>
              </w:rPr>
              <w:t>mail</w:t>
            </w:r>
            <w:proofErr w:type="spellEnd"/>
            <w:r w:rsidRPr="00FC7C32">
              <w:rPr>
                <w:bCs/>
              </w:rPr>
              <w:t xml:space="preserve">: </w:t>
            </w:r>
            <w:hyperlink r:id="rId7" w:history="1">
              <w:r w:rsidRPr="003500D8">
                <w:rPr>
                  <w:rStyle w:val="a5"/>
                  <w:bCs/>
                  <w:color w:val="0070C0"/>
                </w:rPr>
                <w:t>commission1@nabu.gov.ua</w:t>
              </w:r>
            </w:hyperlink>
            <w:r w:rsidRPr="00FC7C32">
              <w:rPr>
                <w:bCs/>
              </w:rPr>
              <w:t xml:space="preserve"> </w:t>
            </w:r>
          </w:p>
          <w:p w:rsidR="001D143D" w:rsidRPr="00FC7C32" w:rsidRDefault="001D143D" w:rsidP="00EF100F">
            <w:pPr>
              <w:jc w:val="both"/>
            </w:pPr>
            <w:proofErr w:type="spellStart"/>
            <w:r w:rsidRPr="00FC7C32">
              <w:rPr>
                <w:bCs/>
              </w:rPr>
              <w:t>Тел</w:t>
            </w:r>
            <w:proofErr w:type="spellEnd"/>
            <w:r w:rsidRPr="00FC7C32">
              <w:rPr>
                <w:bCs/>
              </w:rPr>
              <w:t>.: (044) 246-31-22</w:t>
            </w:r>
          </w:p>
        </w:tc>
      </w:tr>
      <w:tr w:rsidR="00FC7C32" w:rsidRPr="00FC7C32" w:rsidTr="00EF100F">
        <w:tc>
          <w:tcPr>
            <w:tcW w:w="816" w:type="dxa"/>
            <w:shd w:val="clear" w:color="auto" w:fill="auto"/>
          </w:tcPr>
          <w:p w:rsidR="001D143D" w:rsidRPr="00FC7C32" w:rsidRDefault="003500D8" w:rsidP="00EF100F">
            <w:pPr>
              <w:jc w:val="center"/>
              <w:rPr>
                <w:caps/>
              </w:rPr>
            </w:pPr>
            <w:r>
              <w:rPr>
                <w:caps/>
              </w:rPr>
              <w:t>3.</w:t>
            </w:r>
            <w:r w:rsidR="001D143D" w:rsidRPr="00FC7C32">
              <w:rPr>
                <w:caps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Умови оплати праці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r w:rsidRPr="00FC7C32">
              <w:t>Відповідно до:</w:t>
            </w:r>
          </w:p>
          <w:p w:rsidR="001D143D" w:rsidRPr="00FC7C32" w:rsidRDefault="001D143D" w:rsidP="001D143D">
            <w:pPr>
              <w:numPr>
                <w:ilvl w:val="0"/>
                <w:numId w:val="4"/>
              </w:numPr>
              <w:jc w:val="both"/>
            </w:pPr>
            <w:r w:rsidRPr="00FC7C32">
              <w:t>ст.23 Закону України «Про Національне антикорупційне бюро України»;</w:t>
            </w:r>
          </w:p>
          <w:p w:rsidR="001D143D" w:rsidRPr="00FC7C32" w:rsidRDefault="001D143D" w:rsidP="001D143D">
            <w:pPr>
              <w:numPr>
                <w:ilvl w:val="0"/>
                <w:numId w:val="4"/>
              </w:numPr>
              <w:jc w:val="both"/>
            </w:pPr>
            <w:r w:rsidRPr="00FC7C32"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:rsidR="001D143D" w:rsidRPr="00FC7C32" w:rsidRDefault="001D143D" w:rsidP="001D143D">
            <w:pPr>
              <w:numPr>
                <w:ilvl w:val="0"/>
                <w:numId w:val="4"/>
              </w:numPr>
              <w:jc w:val="both"/>
            </w:pPr>
            <w:r w:rsidRPr="00FC7C32"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1D143D" w:rsidRPr="00FC7C32" w:rsidTr="00EF100F">
        <w:trPr>
          <w:trHeight w:val="318"/>
        </w:trPr>
        <w:tc>
          <w:tcPr>
            <w:tcW w:w="816" w:type="dxa"/>
            <w:shd w:val="clear" w:color="auto" w:fill="auto"/>
          </w:tcPr>
          <w:p w:rsidR="001D143D" w:rsidRPr="00FC7C32" w:rsidRDefault="003500D8" w:rsidP="00EF100F">
            <w:pPr>
              <w:jc w:val="center"/>
              <w:rPr>
                <w:caps/>
              </w:rPr>
            </w:pPr>
            <w:r>
              <w:rPr>
                <w:caps/>
              </w:rPr>
              <w:t>3.</w:t>
            </w:r>
            <w:r w:rsidR="001D143D" w:rsidRPr="00FC7C32">
              <w:rPr>
                <w:caps/>
              </w:rPr>
              <w:t>7</w:t>
            </w:r>
          </w:p>
        </w:tc>
        <w:tc>
          <w:tcPr>
            <w:tcW w:w="3109" w:type="dxa"/>
            <w:shd w:val="clear" w:color="auto" w:fill="auto"/>
          </w:tcPr>
          <w:p w:rsidR="001D143D" w:rsidRPr="00FC7C32" w:rsidRDefault="001D143D" w:rsidP="00EF100F">
            <w:r w:rsidRPr="00FC7C32">
              <w:t>Місце проведення конкурсу</w:t>
            </w:r>
          </w:p>
        </w:tc>
        <w:tc>
          <w:tcPr>
            <w:tcW w:w="5704" w:type="dxa"/>
            <w:shd w:val="clear" w:color="auto" w:fill="auto"/>
          </w:tcPr>
          <w:p w:rsidR="001D143D" w:rsidRPr="00FC7C32" w:rsidRDefault="001D143D" w:rsidP="00EF100F">
            <w:pPr>
              <w:rPr>
                <w:highlight w:val="yellow"/>
              </w:rPr>
            </w:pPr>
            <w:r w:rsidRPr="00FC7C32">
              <w:t>03035, м. Київ, вул. Дениса Монастирського, 3 (адміністративна будівля Національного бюро).</w:t>
            </w:r>
          </w:p>
        </w:tc>
      </w:tr>
    </w:tbl>
    <w:p w:rsidR="001D143D" w:rsidRPr="00FC7C32" w:rsidRDefault="001D143D" w:rsidP="001D143D"/>
    <w:p w:rsidR="00C66E5A" w:rsidRPr="00FC7C32" w:rsidRDefault="00C66E5A"/>
    <w:sectPr w:rsidR="00C66E5A" w:rsidRPr="00FC7C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0287C"/>
    <w:multiLevelType w:val="hybridMultilevel"/>
    <w:tmpl w:val="5AEED9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45"/>
    <w:rsid w:val="000012CF"/>
    <w:rsid w:val="00157FE6"/>
    <w:rsid w:val="001D143D"/>
    <w:rsid w:val="00277584"/>
    <w:rsid w:val="003500D8"/>
    <w:rsid w:val="00594D3D"/>
    <w:rsid w:val="00791D45"/>
    <w:rsid w:val="009D1C9C"/>
    <w:rsid w:val="00A73ECA"/>
    <w:rsid w:val="00A96EB1"/>
    <w:rsid w:val="00BC6126"/>
    <w:rsid w:val="00C66E5A"/>
    <w:rsid w:val="00E87C5D"/>
    <w:rsid w:val="00ED2675"/>
    <w:rsid w:val="00F743B3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F4EA26"/>
  <w15:chartTrackingRefBased/>
  <w15:docId w15:val="{38EB002A-3805-402C-A64E-A61F7925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ередня сітка 21"/>
    <w:uiPriority w:val="1"/>
    <w:qFormat/>
    <w:rsid w:val="001D143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2">
    <w:name w:val="Стиль таблицы 2"/>
    <w:rsid w:val="001D143D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3">
    <w:name w:val="No Spacing"/>
    <w:uiPriority w:val="99"/>
    <w:qFormat/>
    <w:rsid w:val="001D143D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">
    <w:name w:val="Без интервала1"/>
    <w:uiPriority w:val="99"/>
    <w:qFormat/>
    <w:rsid w:val="001D143D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List Paragraph"/>
    <w:basedOn w:val="a"/>
    <w:uiPriority w:val="34"/>
    <w:qFormat/>
    <w:rsid w:val="001D143D"/>
    <w:pPr>
      <w:ind w:left="720"/>
      <w:contextualSpacing/>
    </w:pPr>
  </w:style>
  <w:style w:type="character" w:styleId="a5">
    <w:name w:val="Hyperlink"/>
    <w:uiPriority w:val="99"/>
    <w:unhideWhenUsed/>
    <w:rsid w:val="001D143D"/>
    <w:rPr>
      <w:color w:val="0563C1"/>
      <w:u w:val="single"/>
    </w:rPr>
  </w:style>
  <w:style w:type="paragraph" w:customStyle="1" w:styleId="10">
    <w:name w:val="Абзац списку1"/>
    <w:basedOn w:val="a"/>
    <w:rsid w:val="001D14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1D1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0">
    <w:name w:val="Абзац списку2"/>
    <w:basedOn w:val="a"/>
    <w:qFormat/>
    <w:rsid w:val="001D143D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E87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ission1@nabu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robota-v-nabu/pravila-priiomu/perelik-pytan-do-kvalifikaciynogo-ispyt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6592</Words>
  <Characters>3759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Ольга</dc:creator>
  <cp:keywords/>
  <dc:description/>
  <cp:lastModifiedBy>Михайлова Ольга Юріївна</cp:lastModifiedBy>
  <cp:revision>14</cp:revision>
  <dcterms:created xsi:type="dcterms:W3CDTF">2026-03-05T08:10:00Z</dcterms:created>
  <dcterms:modified xsi:type="dcterms:W3CDTF">2026-03-20T08:16:00Z</dcterms:modified>
</cp:coreProperties>
</file>