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AA" w:rsidRDefault="0060355A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  <w:r>
        <w:rPr>
          <w:b/>
          <w:sz w:val="28"/>
          <w:szCs w:val="28"/>
          <w:lang w:val="uk-UA"/>
        </w:rPr>
        <w:br/>
      </w:r>
      <w:r w:rsidRPr="002F16AA">
        <w:rPr>
          <w:b/>
          <w:sz w:val="28"/>
          <w:szCs w:val="28"/>
          <w:lang w:val="uk-UA"/>
        </w:rPr>
        <w:t>«</w:t>
      </w:r>
      <w:r w:rsidRPr="002F16AA">
        <w:rPr>
          <w:b/>
          <w:sz w:val="28"/>
          <w:lang w:val="uk-UA"/>
        </w:rPr>
        <w:t xml:space="preserve">Детектив Національного бюро підрозділу детективів </w:t>
      </w:r>
    </w:p>
    <w:p w:rsidR="002F16AA" w:rsidRDefault="0060355A">
      <w:pPr>
        <w:jc w:val="center"/>
        <w:rPr>
          <w:b/>
          <w:sz w:val="28"/>
          <w:lang w:val="uk-UA"/>
        </w:rPr>
      </w:pPr>
      <w:r w:rsidRPr="002F16AA">
        <w:rPr>
          <w:b/>
          <w:sz w:val="28"/>
          <w:lang w:val="uk-UA"/>
        </w:rPr>
        <w:t>Головних підрозділів детективів</w:t>
      </w:r>
      <w:r w:rsidR="002F16AA">
        <w:rPr>
          <w:b/>
          <w:sz w:val="28"/>
          <w:lang w:val="uk-UA"/>
        </w:rPr>
        <w:t>»</w:t>
      </w:r>
      <w:r w:rsidRPr="002F16AA">
        <w:rPr>
          <w:b/>
          <w:sz w:val="28"/>
          <w:lang w:val="uk-UA"/>
        </w:rPr>
        <w:t xml:space="preserve"> </w:t>
      </w:r>
    </w:p>
    <w:p w:rsidR="001D6D71" w:rsidRPr="002F16AA" w:rsidRDefault="0060355A">
      <w:pPr>
        <w:jc w:val="center"/>
        <w:rPr>
          <w:b/>
          <w:sz w:val="28"/>
          <w:szCs w:val="28"/>
          <w:lang w:val="uk-UA"/>
        </w:rPr>
      </w:pPr>
      <w:r w:rsidRPr="002F16AA">
        <w:rPr>
          <w:b/>
          <w:sz w:val="28"/>
          <w:lang w:val="uk-UA"/>
        </w:rPr>
        <w:t>Національного антикорупційного бюро України</w:t>
      </w:r>
    </w:p>
    <w:p w:rsidR="001D6D71" w:rsidRDefault="001D6D71">
      <w:pPr>
        <w:jc w:val="center"/>
        <w:rPr>
          <w:b/>
          <w:sz w:val="28"/>
          <w:szCs w:val="28"/>
          <w:lang w:val="uk-UA"/>
        </w:rPr>
      </w:pPr>
    </w:p>
    <w:p w:rsidR="002F16AA" w:rsidRDefault="002F16AA">
      <w:pPr>
        <w:jc w:val="center"/>
        <w:rPr>
          <w:b/>
          <w:sz w:val="28"/>
          <w:szCs w:val="28"/>
          <w:lang w:val="uk-UA"/>
        </w:rPr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4457"/>
        <w:gridCol w:w="4850"/>
      </w:tblGrid>
      <w:tr w:rsidR="001D6D71">
        <w:trPr>
          <w:trHeight w:val="420"/>
        </w:trPr>
        <w:tc>
          <w:tcPr>
            <w:tcW w:w="4457" w:type="dxa"/>
            <w:shd w:val="clear" w:color="auto" w:fill="auto"/>
          </w:tcPr>
          <w:p w:rsidR="001D6D71" w:rsidRDefault="001D6D7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50" w:type="dxa"/>
            <w:shd w:val="clear" w:color="auto" w:fill="auto"/>
          </w:tcPr>
          <w:p w:rsidR="001D6D71" w:rsidRDefault="0060355A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D6D71">
        <w:trPr>
          <w:trHeight w:val="762"/>
        </w:trPr>
        <w:tc>
          <w:tcPr>
            <w:tcW w:w="4457" w:type="dxa"/>
            <w:shd w:val="clear" w:color="auto" w:fill="auto"/>
          </w:tcPr>
          <w:p w:rsidR="001D6D71" w:rsidRDefault="001D6D7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  <w:shd w:val="clear" w:color="auto" w:fill="auto"/>
          </w:tcPr>
          <w:p w:rsidR="001D6D71" w:rsidRDefault="0060355A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1D6D71" w:rsidRDefault="0060355A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1D6D71" w:rsidRDefault="0060355A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України                                    </w:t>
            </w:r>
            <w:r>
              <w:rPr>
                <w:rFonts w:ascii="Times New Roman" w:hAnsi="Times New Roman"/>
                <w:b/>
                <w:lang w:val="uk-UA"/>
              </w:rPr>
              <w:t>Семен КРИВОНОС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D6D71">
        <w:trPr>
          <w:trHeight w:val="204"/>
        </w:trPr>
        <w:tc>
          <w:tcPr>
            <w:tcW w:w="4457" w:type="dxa"/>
            <w:shd w:val="clear" w:color="auto" w:fill="auto"/>
          </w:tcPr>
          <w:p w:rsidR="001D6D71" w:rsidRDefault="001D6D7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50" w:type="dxa"/>
            <w:tcBorders>
              <w:top w:val="single" w:sz="4" w:space="0" w:color="auto"/>
            </w:tcBorders>
            <w:shd w:val="clear" w:color="auto" w:fill="auto"/>
          </w:tcPr>
          <w:p w:rsidR="001D6D71" w:rsidRDefault="001D6D7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6D71">
        <w:trPr>
          <w:trHeight w:val="216"/>
        </w:trPr>
        <w:tc>
          <w:tcPr>
            <w:tcW w:w="4457" w:type="dxa"/>
            <w:shd w:val="clear" w:color="auto" w:fill="auto"/>
          </w:tcPr>
          <w:p w:rsidR="001D6D71" w:rsidRDefault="001D6D7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50" w:type="dxa"/>
            <w:shd w:val="clear" w:color="auto" w:fill="auto"/>
          </w:tcPr>
          <w:p w:rsidR="001D6D71" w:rsidRDefault="0060355A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16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CB2FA9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bookmarkStart w:id="0" w:name="_GoBack"/>
            <w:bookmarkEnd w:id="0"/>
            <w:r w:rsidRPr="002F16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2F1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липня 2026 року</w:t>
            </w:r>
          </w:p>
          <w:p w:rsidR="002F16AA" w:rsidRDefault="002F16AA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D6D71" w:rsidRDefault="001D6D71">
      <w:pPr>
        <w:jc w:val="center"/>
        <w:rPr>
          <w:b/>
          <w:sz w:val="16"/>
          <w:szCs w:val="16"/>
          <w:lang w:val="uk-UA"/>
        </w:rPr>
      </w:pPr>
    </w:p>
    <w:tbl>
      <w:tblPr>
        <w:tblW w:w="56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880"/>
        <w:gridCol w:w="6804"/>
      </w:tblGrid>
      <w:tr w:rsidR="001D6D71" w:rsidTr="0060355A">
        <w:trPr>
          <w:trHeight w:val="523"/>
        </w:trPr>
        <w:tc>
          <w:tcPr>
            <w:tcW w:w="835" w:type="dxa"/>
            <w:shd w:val="clear" w:color="auto" w:fill="auto"/>
            <w:vAlign w:val="center"/>
          </w:tcPr>
          <w:p w:rsidR="001D6D71" w:rsidRDefault="0060355A">
            <w:pPr>
              <w:ind w:left="9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9684" w:type="dxa"/>
            <w:gridSpan w:val="2"/>
            <w:shd w:val="clear" w:color="auto" w:fill="auto"/>
            <w:vAlign w:val="center"/>
          </w:tcPr>
          <w:p w:rsidR="001D6D71" w:rsidRDefault="0060355A" w:rsidP="002F16A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Pr="00C356A5" w:rsidRDefault="001D6D71" w:rsidP="00C356A5">
            <w:pPr>
              <w:pStyle w:val="af1"/>
              <w:numPr>
                <w:ilvl w:val="0"/>
                <w:numId w:val="20"/>
              </w:numPr>
              <w:ind w:left="527" w:hanging="3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Національне антикорупційне бюро України                                  (далі – Національне бюро)</w:t>
            </w:r>
          </w:p>
        </w:tc>
      </w:tr>
      <w:tr w:rsidR="001D6D71" w:rsidTr="002F16AA">
        <w:trPr>
          <w:trHeight w:val="512"/>
        </w:trPr>
        <w:tc>
          <w:tcPr>
            <w:tcW w:w="835" w:type="dxa"/>
            <w:shd w:val="clear" w:color="auto" w:fill="auto"/>
          </w:tcPr>
          <w:p w:rsidR="001D6D71" w:rsidRPr="00C356A5" w:rsidRDefault="001D6D71" w:rsidP="00C356A5">
            <w:pPr>
              <w:pStyle w:val="af1"/>
              <w:numPr>
                <w:ilvl w:val="0"/>
                <w:numId w:val="20"/>
              </w:numPr>
              <w:ind w:left="527" w:hanging="3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Головні підрозділи детективів</w:t>
            </w:r>
          </w:p>
        </w:tc>
      </w:tr>
      <w:tr w:rsidR="001D6D71" w:rsidTr="002F16AA">
        <w:trPr>
          <w:trHeight w:val="309"/>
        </w:trPr>
        <w:tc>
          <w:tcPr>
            <w:tcW w:w="835" w:type="dxa"/>
            <w:shd w:val="clear" w:color="auto" w:fill="auto"/>
          </w:tcPr>
          <w:p w:rsidR="001D6D71" w:rsidRPr="00C356A5" w:rsidRDefault="001D6D71" w:rsidP="00C356A5">
            <w:pPr>
              <w:pStyle w:val="af1"/>
              <w:numPr>
                <w:ilvl w:val="0"/>
                <w:numId w:val="20"/>
              </w:numPr>
              <w:ind w:left="527" w:hanging="3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Детектив Національного бюро підрозділу детективів головних підрозділів детективів 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Pr="00C356A5" w:rsidRDefault="001D6D71" w:rsidP="00C356A5">
            <w:pPr>
              <w:pStyle w:val="af1"/>
              <w:numPr>
                <w:ilvl w:val="0"/>
                <w:numId w:val="20"/>
              </w:numPr>
              <w:ind w:left="527" w:hanging="357"/>
              <w:jc w:val="center"/>
              <w:rPr>
                <w:caps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Pr="00C356A5" w:rsidRDefault="001D6D71" w:rsidP="00C356A5">
            <w:pPr>
              <w:pStyle w:val="af1"/>
              <w:numPr>
                <w:ilvl w:val="0"/>
                <w:numId w:val="20"/>
              </w:numPr>
              <w:ind w:left="527" w:hanging="357"/>
              <w:jc w:val="center"/>
              <w:rPr>
                <w:caps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Pr="00C356A5" w:rsidRDefault="001D6D71" w:rsidP="00C356A5">
            <w:pPr>
              <w:pStyle w:val="af1"/>
              <w:numPr>
                <w:ilvl w:val="0"/>
                <w:numId w:val="20"/>
              </w:numPr>
              <w:ind w:left="527" w:hanging="3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досудового розслідування кримінальних правопорушень, підслідних Національному бюро, у т.ч. у найбільш резонансних провадженнях;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здійснення оперативно-розшукових заходів, направлених на виявлення злочинів, що готуються та осіб, які їх готують; розшуку осіб, </w:t>
            </w:r>
            <w:r>
              <w:rPr>
                <w:rStyle w:val="rvts0"/>
                <w:lang w:val="uk-UA"/>
              </w:rPr>
              <w:t>які переховуються від органів досудового розслідування, слідчого судді, суду або ухиляються від відбування кримінального покарання</w:t>
            </w:r>
            <w:r>
              <w:rPr>
                <w:lang w:val="uk-UA"/>
              </w:rPr>
              <w:t>;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збір фактичних даних про причетність осіб до вчинення кримінальних правопорушень, а також викриття та затримання їх під час скоєння злочину, організація їх розшуку, якщо такі особи переховуються від органу досудового розслідування чи суду; 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 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 (спеціальної конфіскації) під час кримінальних проваджень;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виявлення необґрунтованих активів та збір доказів їх необґрунтованості;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1D6D71" w:rsidRDefault="0060355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1D6D71" w:rsidTr="0060355A">
        <w:trPr>
          <w:trHeight w:val="437"/>
        </w:trPr>
        <w:tc>
          <w:tcPr>
            <w:tcW w:w="835" w:type="dxa"/>
            <w:shd w:val="clear" w:color="auto" w:fill="auto"/>
            <w:vAlign w:val="center"/>
          </w:tcPr>
          <w:p w:rsidR="001D6D71" w:rsidRDefault="0060355A">
            <w:pPr>
              <w:ind w:left="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684" w:type="dxa"/>
            <w:gridSpan w:val="2"/>
            <w:shd w:val="clear" w:color="auto" w:fill="auto"/>
            <w:vAlign w:val="center"/>
          </w:tcPr>
          <w:p w:rsidR="001D6D71" w:rsidRDefault="006035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1D6D71" w:rsidTr="002F16AA">
        <w:tc>
          <w:tcPr>
            <w:tcW w:w="10519" w:type="dxa"/>
            <w:gridSpan w:val="3"/>
            <w:shd w:val="clear" w:color="auto" w:fill="auto"/>
          </w:tcPr>
          <w:p w:rsidR="001D6D71" w:rsidRDefault="0060355A">
            <w:pPr>
              <w:numPr>
                <w:ilvl w:val="0"/>
                <w:numId w:val="2"/>
              </w:numPr>
              <w:ind w:left="9" w:firstLine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1D6D71" w:rsidTr="002F16AA">
        <w:tc>
          <w:tcPr>
            <w:tcW w:w="835" w:type="dxa"/>
            <w:vMerge w:val="restart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Вища освіта</w:t>
            </w:r>
          </w:p>
        </w:tc>
      </w:tr>
      <w:tr w:rsidR="001D6D71" w:rsidTr="002F16AA">
        <w:tc>
          <w:tcPr>
            <w:tcW w:w="835" w:type="dxa"/>
            <w:vMerge/>
            <w:shd w:val="clear" w:color="auto" w:fill="auto"/>
          </w:tcPr>
          <w:p w:rsidR="001D6D71" w:rsidRDefault="001D6D71">
            <w:pPr>
              <w:ind w:left="9"/>
              <w:jc w:val="center"/>
              <w:rPr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 (спеціаліст) або бакалавр (з 2016 року)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Стаж роботи, пов’язаної з проведенням оперативно-розшукової діяльності, досудового розслідування та/або наглядом за додержанням законів під час проведення досудового розслідування у формі процесуального керівництва досудовим розслідуванням не менше двох років та/або стаж роботи в головних підрозділах детективів, Управлінні внутрішнього контролю Національного бюро не менше одного року</w:t>
            </w:r>
            <w:r>
              <w:rPr>
                <w:spacing w:val="-6"/>
                <w:shd w:val="clear" w:color="auto" w:fill="FFFFFF"/>
                <w:lang w:val="uk-UA"/>
              </w:rPr>
              <w:t>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 (</w:t>
            </w:r>
            <w:r>
              <w:rPr>
                <w:lang w:val="en-US"/>
              </w:rPr>
              <w:t>B</w:t>
            </w:r>
            <w:r>
              <w:rPr>
                <w:lang w:val="uk-UA"/>
              </w:rPr>
              <w:t>2) та вище є додатковою перевагою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1.</w:t>
            </w:r>
            <w:r>
              <w:rPr>
                <w:caps/>
                <w:lang w:val="en-US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Безстроково</w:t>
            </w:r>
          </w:p>
        </w:tc>
      </w:tr>
      <w:tr w:rsidR="001D6D71" w:rsidTr="002F16AA">
        <w:tc>
          <w:tcPr>
            <w:tcW w:w="10519" w:type="dxa"/>
            <w:gridSpan w:val="3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shd w:val="clear" w:color="auto" w:fill="FFFFFF"/>
              <w:spacing w:line="256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>Бізнес, адміністрування та право (спеціальність: «Право»); Безпека та оборона (спеціальність: «Державна безпека», «Правоохоронна діяльність»).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>Досвід складання процесуальних документів згідно з чинним Кримінальним процесуальним кодексом України; проведення слідчих (розшукових) дій та негласних слідчих (розшукових) дій згідно з чинним Кримінальним процесуальним кодексом України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Конституція України; 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Кримінальний процесуальний кодекс України;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Кримінальний кодекс України;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Закон України «Про Національне антикорупційне бюро України»; 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оперативно-розшукову діяльність»;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запобігання корупції»;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державну таємницю»;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державну службу»;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ind w:left="325" w:hanging="325"/>
              <w:jc w:val="both"/>
              <w:rPr>
                <w:lang w:val="uk-UA"/>
              </w:rPr>
            </w:pPr>
            <w:r>
              <w:rPr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 липня 1991 р. №114;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1D6D71" w:rsidRDefault="0060355A" w:rsidP="0060355A">
            <w:pPr>
              <w:numPr>
                <w:ilvl w:val="0"/>
                <w:numId w:val="9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норми міжнародного законодавства з питань правового співробітництва із компетентними органами іноземних </w:t>
            </w:r>
            <w:r>
              <w:rPr>
                <w:lang w:val="uk-UA"/>
              </w:rPr>
              <w:lastRenderedPageBreak/>
              <w:t>держав, міжнародними організаціями при проведенні оперативно-розшукової діяльності, досудового розслідування; дотримання прав людини та громадянина.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ind w:right="-3"/>
              <w:rPr>
                <w:highlight w:val="yellow"/>
                <w:lang w:val="uk-UA"/>
              </w:rPr>
            </w:pPr>
            <w:r>
              <w:rPr>
                <w:lang w:val="uk-UA"/>
              </w:rPr>
              <w:t>Професійні знання (відповідно до посади                       з урахуванням вимог спеціальних законів)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кримінального та кримінального процесуального права;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методів криміналістичного дослідження;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основ психології, у т.ч. у сфері оперативно-розшукової діяльності та здійсненні слідчих дій;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ind w:right="-3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7"/>
              </w:numPr>
              <w:ind w:left="322" w:hanging="322"/>
              <w:jc w:val="both"/>
              <w:rPr>
                <w:lang w:val="uk-UA"/>
              </w:rPr>
            </w:pPr>
            <w:r>
              <w:rPr>
                <w:lang w:val="uk-UA"/>
              </w:rPr>
              <w:t>ініціативність;</w:t>
            </w:r>
          </w:p>
          <w:p w:rsidR="001D6D71" w:rsidRDefault="0060355A" w:rsidP="0060355A">
            <w:pPr>
              <w:numPr>
                <w:ilvl w:val="0"/>
                <w:numId w:val="17"/>
              </w:numPr>
              <w:ind w:left="322" w:hanging="322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обґрунтовувати власну позицію;</w:t>
            </w:r>
          </w:p>
          <w:p w:rsidR="001D6D71" w:rsidRDefault="0060355A" w:rsidP="0060355A">
            <w:pPr>
              <w:numPr>
                <w:ilvl w:val="0"/>
                <w:numId w:val="17"/>
              </w:numPr>
              <w:ind w:left="322" w:hanging="322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брати на себе відповідальність;</w:t>
            </w:r>
          </w:p>
          <w:p w:rsidR="001D6D71" w:rsidRDefault="0060355A" w:rsidP="0060355A">
            <w:pPr>
              <w:numPr>
                <w:ilvl w:val="0"/>
                <w:numId w:val="17"/>
              </w:numPr>
              <w:ind w:left="322" w:hanging="322"/>
              <w:jc w:val="both"/>
              <w:rPr>
                <w:lang w:val="uk-UA"/>
              </w:rPr>
            </w:pPr>
            <w:r>
              <w:rPr>
                <w:lang w:val="uk-UA"/>
              </w:rPr>
              <w:t>неупередженість та об’єктивність.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ind w:right="-3"/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з великими масивами інформації;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в умовах багатозадачності;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встановлювати цілі, пріоритети та орієнтири.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Комунікація та взаємодія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доводити свою точку зору;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достатній словниковий запас.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>
              <w:t>Якісне виконання поставлених завдань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2880" w:type="dxa"/>
            <w:shd w:val="clear" w:color="auto" w:fill="FFFFFF"/>
          </w:tcPr>
          <w:p w:rsidR="001D6D71" w:rsidRDefault="0060355A">
            <w:pPr>
              <w:rPr>
                <w:lang w:val="uk-UA" w:eastAsia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6804" w:type="dxa"/>
            <w:shd w:val="clear" w:color="auto" w:fill="FFFFFF"/>
          </w:tcPr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виконувати роботу в команді;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надавати зворотній зв'язок.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8"/>
              </w:numPr>
              <w:ind w:left="31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адаптація до змін і прийняття нових підходів у вирішенні поставлених завдань.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9"/>
              </w:numPr>
              <w:ind w:left="317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використовувати комп'ютерну та офісну техніку.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аналітичні здібності;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інтелектуальна та емоційна зрілість;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самоорганізація та орієнтація на розвиток;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незалежність та ініціативність;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стресів;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чесність та дисциплінованість;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неупередженість та об’єктивність;</w:t>
            </w:r>
          </w:p>
          <w:p w:rsidR="001D6D71" w:rsidRDefault="0060355A" w:rsidP="0060355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1D6D71" w:rsidTr="0060355A">
        <w:trPr>
          <w:trHeight w:val="521"/>
        </w:trPr>
        <w:tc>
          <w:tcPr>
            <w:tcW w:w="835" w:type="dxa"/>
            <w:shd w:val="clear" w:color="auto" w:fill="auto"/>
            <w:vAlign w:val="center"/>
          </w:tcPr>
          <w:p w:rsidR="001D6D71" w:rsidRDefault="0060355A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9684" w:type="dxa"/>
            <w:gridSpan w:val="2"/>
            <w:shd w:val="clear" w:color="auto" w:fill="auto"/>
            <w:vAlign w:val="center"/>
          </w:tcPr>
          <w:p w:rsidR="001D6D71" w:rsidRDefault="0060355A" w:rsidP="0060355A">
            <w:pPr>
              <w:jc w:val="center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lang w:val="uk-UA"/>
              </w:rPr>
              <w:t>ІНШІ ВІДОМОСТІ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C356A5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60355A">
              <w:rPr>
                <w:caps/>
                <w:lang w:val="uk-UA"/>
              </w:rPr>
              <w:t>.1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тестування на знання законодавства 1-го та 2-го рівнів </w:t>
            </w:r>
            <w:r w:rsidR="002F16AA" w:rsidRPr="00DD65C8">
              <w:t>(</w:t>
            </w:r>
            <w:hyperlink r:id="rId7" w:history="1">
              <w:r w:rsidR="002F16AA" w:rsidRPr="00DD65C8">
                <w:rPr>
                  <w:color w:val="0000FF"/>
                  <w:u w:val="single"/>
                </w:rPr>
                <w:t>https://nabu.gov.ua/perelik-pytan-do-kvalifikaciynogo-ispytu</w:t>
              </w:r>
            </w:hyperlink>
            <w:r w:rsidR="002F16AA" w:rsidRPr="00DD65C8">
              <w:t>)</w:t>
            </w:r>
            <w:r>
              <w:rPr>
                <w:lang w:val="uk-UA"/>
              </w:rPr>
              <w:t>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C356A5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60355A">
              <w:rPr>
                <w:caps/>
                <w:lang w:val="uk-UA"/>
              </w:rPr>
              <w:t>.2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</w:t>
            </w:r>
          </w:p>
          <w:p w:rsidR="001D6D71" w:rsidRDefault="001D6D71">
            <w:pPr>
              <w:rPr>
                <w:lang w:val="uk-UA"/>
              </w:rPr>
            </w:pPr>
          </w:p>
        </w:tc>
        <w:tc>
          <w:tcPr>
            <w:tcW w:w="6804" w:type="dxa"/>
          </w:tcPr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>
              <w:rPr>
                <w:b/>
              </w:rPr>
              <w:t>безпосередньо через вебсайт Національного бюро</w:t>
            </w:r>
            <w:r>
              <w:t>: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>
              <w:rPr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вебсайт Національного бюро);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</w:t>
            </w:r>
            <w:r>
              <w:lastRenderedPageBreak/>
              <w:t>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1D6D71" w:rsidRDefault="001D6D71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>
              <w:rPr>
                <w:b/>
              </w:rPr>
              <w:t xml:space="preserve">безпосередньо через вебсайт Національного бюро: 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>
              <w:rPr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>анкету кандидата на посаду до Національного бюро, заповнюючи лише поля: ПІБ, дата народження, стать та контактна інформація (заповнюється через вебсайт Національного бюро);</w:t>
            </w: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F16AA" w:rsidRDefault="002F16AA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1D6D71" w:rsidRDefault="0060355A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вебсайті Національного бюро (</w:t>
            </w:r>
            <w:hyperlink r:id="rId8">
              <w:r>
                <w:rPr>
                  <w:rStyle w:val="ae"/>
                </w:rPr>
                <w:t>https://nabu.gov.ua/robota-v-nabu/pravila-priiomu/poryadok-provedennya-vidkrytogo-konkursu/</w:t>
              </w:r>
            </w:hyperlink>
            <w:r>
              <w:t xml:space="preserve"> (Порядок проведення відкритого конкурсу, розділ ІІІ).</w:t>
            </w:r>
          </w:p>
          <w:p w:rsidR="002F16AA" w:rsidRDefault="002F16AA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1D6D71" w:rsidRDefault="0060355A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2F16AA" w:rsidRDefault="002F16AA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</w:pPr>
          </w:p>
          <w:p w:rsidR="001D6D71" w:rsidRDefault="0060355A">
            <w:pPr>
              <w:widowControl w:val="0"/>
              <w:jc w:val="both"/>
              <w:rPr>
                <w:sz w:val="6"/>
                <w:szCs w:val="6"/>
                <w:lang w:val="uk-UA"/>
              </w:rPr>
            </w:pPr>
            <w:r>
              <w:t xml:space="preserve">     </w:t>
            </w:r>
            <w:r>
              <w:rPr>
                <w:lang w:val="uk-UA"/>
              </w:rPr>
              <w:t xml:space="preserve"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</w:t>
            </w:r>
            <w:r>
              <w:rPr>
                <w:lang w:val="uk-UA"/>
              </w:rPr>
              <w:lastRenderedPageBreak/>
              <w:t>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C356A5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</w:t>
            </w:r>
            <w:r w:rsidR="0060355A">
              <w:rPr>
                <w:caps/>
                <w:lang w:val="uk-UA"/>
              </w:rPr>
              <w:t>.3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D6D71" w:rsidRDefault="0060355A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 xml:space="preserve">Протягом 10 календарних днів 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C356A5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60355A">
              <w:rPr>
                <w:caps/>
                <w:lang w:val="uk-UA"/>
              </w:rPr>
              <w:t>.4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sz w:val="6"/>
                <w:szCs w:val="6"/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D6D71" w:rsidRDefault="0060355A">
            <w:pPr>
              <w:rPr>
                <w:lang w:val="uk-UA"/>
              </w:rPr>
            </w:pPr>
            <w:r>
              <w:t>З</w:t>
            </w:r>
            <w:r>
              <w:rPr>
                <w:lang w:val="uk-UA"/>
              </w:rPr>
              <w:t xml:space="preserve">а посиланням на вебсайті Національного бюро </w:t>
            </w:r>
            <w:hyperlink r:id="rId9">
              <w:r>
                <w:rPr>
                  <w:rStyle w:val="ae"/>
                </w:rPr>
                <w:t>https://nabu.gov.ua/robota-v-nabu/perelik-vakansiy/</w:t>
              </w:r>
            </w:hyperlink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C356A5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60355A">
              <w:rPr>
                <w:caps/>
                <w:lang w:val="uk-UA"/>
              </w:rPr>
              <w:t>.5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E-mail: </w:t>
            </w:r>
            <w:hyperlink r:id="rId10">
              <w:r>
                <w:rPr>
                  <w:rStyle w:val="ae"/>
                  <w:lang w:val="uk-UA"/>
                </w:rPr>
                <w:t>commission1@nabu.gov.ua</w:t>
              </w:r>
            </w:hyperlink>
          </w:p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044-246-31-22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C356A5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60355A">
              <w:rPr>
                <w:caps/>
                <w:lang w:val="uk-UA"/>
              </w:rPr>
              <w:t>.6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ind w:firstLine="459"/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 *</w:t>
            </w:r>
          </w:p>
        </w:tc>
      </w:tr>
      <w:tr w:rsidR="001D6D71" w:rsidTr="002F16AA">
        <w:tc>
          <w:tcPr>
            <w:tcW w:w="835" w:type="dxa"/>
            <w:shd w:val="clear" w:color="auto" w:fill="auto"/>
          </w:tcPr>
          <w:p w:rsidR="001D6D71" w:rsidRDefault="00C356A5">
            <w:pPr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60355A">
              <w:rPr>
                <w:caps/>
                <w:lang w:val="uk-UA"/>
              </w:rPr>
              <w:t>.7</w:t>
            </w:r>
          </w:p>
        </w:tc>
        <w:tc>
          <w:tcPr>
            <w:tcW w:w="2880" w:type="dxa"/>
            <w:shd w:val="clear" w:color="auto" w:fill="auto"/>
          </w:tcPr>
          <w:p w:rsidR="001D6D71" w:rsidRDefault="0060355A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6804" w:type="dxa"/>
            <w:shd w:val="clear" w:color="auto" w:fill="auto"/>
          </w:tcPr>
          <w:p w:rsidR="001D6D71" w:rsidRDefault="0060355A">
            <w:pPr>
              <w:rPr>
                <w:szCs w:val="20"/>
                <w:lang w:val="uk-UA" w:eastAsia="uk-UA"/>
              </w:rPr>
            </w:pPr>
            <w:r>
              <w:rPr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1D6D71" w:rsidRDefault="001D6D71">
      <w:pPr>
        <w:jc w:val="right"/>
      </w:pPr>
    </w:p>
    <w:p w:rsidR="001D6D71" w:rsidRDefault="0060355A">
      <w:pPr>
        <w:ind w:left="-851" w:firstLine="851"/>
        <w:jc w:val="both"/>
        <w:rPr>
          <w:lang w:val="uk-UA"/>
        </w:rPr>
      </w:pPr>
      <w:r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1D6D71">
      <w:headerReference w:type="default" r:id="rId11"/>
      <w:footnotePr>
        <w:numFmt w:val="chicago"/>
      </w:footnotePr>
      <w:pgSz w:w="11906" w:h="16838"/>
      <w:pgMar w:top="567" w:right="851" w:bottom="568" w:left="1701" w:header="142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71" w:rsidRDefault="001D6D71"/>
  </w:endnote>
  <w:endnote w:type="continuationSeparator" w:id="0">
    <w:p w:rsidR="001D6D71" w:rsidRDefault="001D6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71" w:rsidRDefault="001D6D71"/>
  </w:footnote>
  <w:footnote w:type="continuationSeparator" w:id="0">
    <w:p w:rsidR="001D6D71" w:rsidRDefault="001D6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71" w:rsidRDefault="001D6D71">
    <w:pPr>
      <w:pStyle w:val="a3"/>
      <w:jc w:val="center"/>
    </w:pPr>
  </w:p>
  <w:p w:rsidR="001D6D71" w:rsidRDefault="001D6D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9D240A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45B2E12"/>
    <w:multiLevelType w:val="hybridMultilevel"/>
    <w:tmpl w:val="FF1C9362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B14E99"/>
    <w:multiLevelType w:val="hybridMultilevel"/>
    <w:tmpl w:val="4CF4B010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EE4372"/>
    <w:multiLevelType w:val="hybridMultilevel"/>
    <w:tmpl w:val="4058C3C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427158"/>
    <w:multiLevelType w:val="hybridMultilevel"/>
    <w:tmpl w:val="CBE46F3C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F3462B"/>
    <w:multiLevelType w:val="hybridMultilevel"/>
    <w:tmpl w:val="7B4A3FD6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13D2D30"/>
    <w:multiLevelType w:val="hybridMultilevel"/>
    <w:tmpl w:val="76F64BCE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AC83EE9"/>
    <w:multiLevelType w:val="hybridMultilevel"/>
    <w:tmpl w:val="5D78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C82B17"/>
    <w:multiLevelType w:val="multilevel"/>
    <w:tmpl w:val="8DB04130"/>
    <w:lvl w:ilvl="0">
      <w:start w:val="1"/>
      <w:numFmt w:val="bullet"/>
      <w:lvlText w:val=""/>
      <w:lvlJc w:val="left"/>
      <w:pPr>
        <w:tabs>
          <w:tab w:val="num" w:pos="0"/>
        </w:tabs>
        <w:ind w:left="75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1103877"/>
    <w:multiLevelType w:val="hybridMultilevel"/>
    <w:tmpl w:val="48B00F86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08088F"/>
    <w:multiLevelType w:val="hybridMultilevel"/>
    <w:tmpl w:val="7E12FED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80E6C83"/>
    <w:multiLevelType w:val="hybridMultilevel"/>
    <w:tmpl w:val="770EAFC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8922615"/>
    <w:multiLevelType w:val="multilevel"/>
    <w:tmpl w:val="1A14D544"/>
    <w:lvl w:ilvl="0">
      <w:start w:val="1"/>
      <w:numFmt w:val="bullet"/>
      <w:lvlText w:val=""/>
      <w:lvlJc w:val="left"/>
      <w:pPr>
        <w:tabs>
          <w:tab w:val="num" w:pos="0"/>
        </w:tabs>
        <w:ind w:left="75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E1C0FE4"/>
    <w:multiLevelType w:val="hybridMultilevel"/>
    <w:tmpl w:val="34E2533A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8985DB0"/>
    <w:multiLevelType w:val="hybridMultilevel"/>
    <w:tmpl w:val="DBE09F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0F53"/>
    <w:multiLevelType w:val="hybridMultilevel"/>
    <w:tmpl w:val="E7C4E0CE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800417"/>
    <w:multiLevelType w:val="hybridMultilevel"/>
    <w:tmpl w:val="9FC49B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65742CD"/>
    <w:multiLevelType w:val="hybridMultilevel"/>
    <w:tmpl w:val="7B0CF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01083"/>
    <w:multiLevelType w:val="hybridMultilevel"/>
    <w:tmpl w:val="2514CFF4"/>
    <w:lvl w:ilvl="0" w:tplc="36ACE17C">
      <w:start w:val="1"/>
      <w:numFmt w:val="bullet"/>
      <w:lvlText w:val="→"/>
      <w:lvlJc w:val="left"/>
      <w:pPr>
        <w:ind w:left="64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36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8" w:hanging="360"/>
      </w:pPr>
      <w:rPr>
        <w:rFonts w:ascii="Wingdings" w:hAnsi="Wingdings"/>
      </w:rPr>
    </w:lvl>
  </w:abstractNum>
  <w:abstractNum w:abstractNumId="19" w15:restartNumberingAfterBreak="0">
    <w:nsid w:val="7E4B4F59"/>
    <w:multiLevelType w:val="hybridMultilevel"/>
    <w:tmpl w:val="6D1A043A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4"/>
  </w:num>
  <w:num w:numId="5">
    <w:abstractNumId w:val="19"/>
  </w:num>
  <w:num w:numId="6">
    <w:abstractNumId w:val="15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2"/>
  </w:num>
  <w:num w:numId="18">
    <w:abstractNumId w:val="6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71"/>
    <w:rsid w:val="001D6D71"/>
    <w:rsid w:val="002F16AA"/>
    <w:rsid w:val="0060355A"/>
    <w:rsid w:val="00C356A5"/>
    <w:rsid w:val="00CB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91D6"/>
  <w15:docId w15:val="{83B9F263-2354-4F4F-B166-36AEB69E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customStyle="1" w:styleId="21">
    <w:name w:val="Середня сітка 21"/>
    <w:qFormat/>
    <w:pPr>
      <w:spacing w:after="0" w:line="240" w:lineRule="auto"/>
    </w:pPr>
    <w:rPr>
      <w:lang w:val="ru-RU"/>
    </w:rPr>
  </w:style>
  <w:style w:type="paragraph" w:customStyle="1" w:styleId="rvps12">
    <w:name w:val="rvps12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a5">
    <w:name w:val="По умолчанию"/>
    <w:pPr>
      <w:spacing w:after="0" w:line="240" w:lineRule="auto"/>
    </w:pPr>
    <w:rPr>
      <w:rFonts w:ascii="Arial Unicode MS" w:hAnsi="Arial Unicode MS"/>
      <w:color w:val="000000"/>
      <w:lang w:val="ru-RU"/>
    </w:rPr>
  </w:style>
  <w:style w:type="paragraph" w:customStyle="1" w:styleId="2">
    <w:name w:val="Стиль таблицы 2"/>
    <w:pPr>
      <w:spacing w:after="0" w:line="240" w:lineRule="auto"/>
    </w:pPr>
    <w:rPr>
      <w:rFonts w:ascii="Helvetica" w:hAnsi="Helvetica"/>
      <w:color w:val="000000"/>
      <w:sz w:val="20"/>
      <w:szCs w:val="20"/>
      <w:lang w:val="ru-RU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Times New Roman" w:hAnsi="Times New Roman"/>
      <w:sz w:val="24"/>
      <w:szCs w:val="24"/>
    </w:rPr>
  </w:style>
  <w:style w:type="character" w:customStyle="1" w:styleId="rvts0">
    <w:name w:val="rvts0"/>
  </w:style>
  <w:style w:type="character" w:customStyle="1" w:styleId="a8">
    <w:name w:val="Текст у виносці Знак"/>
    <w:basedOn w:val="a0"/>
    <w:link w:val="a7"/>
    <w:semiHidden/>
    <w:rPr>
      <w:rFonts w:ascii="Segoe UI" w:hAnsi="Segoe UI"/>
      <w:sz w:val="18"/>
      <w:szCs w:val="18"/>
      <w:lang w:val="ru-RU" w:eastAsia="ru-RU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C3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7423</Words>
  <Characters>4232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Міщанинець Олександр Миколайович</dc:creator>
  <cp:lastModifiedBy>Михайлова Ольга Юріївна</cp:lastModifiedBy>
  <cp:revision>30</cp:revision>
  <dcterms:created xsi:type="dcterms:W3CDTF">2026-04-03T06:42:00Z</dcterms:created>
  <dcterms:modified xsi:type="dcterms:W3CDTF">2026-07-20T07:57:00Z</dcterms:modified>
</cp:coreProperties>
</file>